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8D8C3">
      <w:pPr>
        <w:pStyle w:val="11"/>
        <w:spacing w:afterLines="100"/>
        <w:ind w:left="357" w:firstLine="0" w:firstLineChars="0"/>
        <w:jc w:val="center"/>
        <w:rPr>
          <w:rFonts w:hint="eastAsia" w:ascii="方正小标宋_GBK" w:hAnsi="方正小标宋_GBK" w:eastAsia="方正小标宋_GBK" w:cs="方正小标宋_GBK"/>
          <w:color w:val="auto"/>
          <w:kern w:val="2"/>
          <w:sz w:val="40"/>
          <w:szCs w:val="40"/>
          <w:lang w:val="en-US" w:eastAsia="zh-CN" w:bidi="ar-SA"/>
        </w:rPr>
      </w:pPr>
      <w:r>
        <w:rPr>
          <w:rFonts w:hint="eastAsia" w:ascii="方正小标宋_GBK" w:hAnsi="方正小标宋_GBK" w:eastAsia="方正小标宋_GBK" w:cs="方正小标宋_GBK"/>
          <w:color w:val="FF0000"/>
          <w:kern w:val="2"/>
          <w:sz w:val="40"/>
          <w:szCs w:val="40"/>
          <w:lang w:val="en-US" w:eastAsia="zh-CN" w:bidi="ar-SA"/>
        </w:rPr>
        <w:t>生物制药技术</w:t>
      </w:r>
      <w:r>
        <w:rPr>
          <w:rFonts w:hint="eastAsia" w:ascii="方正小标宋_GBK" w:hAnsi="方正小标宋_GBK" w:eastAsia="方正小标宋_GBK" w:cs="方正小标宋_GBK"/>
          <w:color w:val="auto"/>
          <w:kern w:val="2"/>
          <w:sz w:val="40"/>
          <w:szCs w:val="40"/>
          <w:lang w:val="en-US" w:eastAsia="zh-CN" w:bidi="ar-SA"/>
        </w:rPr>
        <w:t>专业调研报告</w:t>
      </w:r>
    </w:p>
    <w:p w14:paraId="4EA4B1D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一、调研概述</w:t>
      </w:r>
    </w:p>
    <w:p w14:paraId="51A7C74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为了更好地适应区域医药行业发展需要，适应企业转型升级需要，为了切实提高人才培养质量，为专业改革发展提供依据，药品生产技术专业团队深入长三角地区医药产品制造类企业和生物医药技术服务类企业，就行业发展、人才需求、产学研合作进行调研；同时，我们与国内同行院校进行了广泛交流。</w:t>
      </w:r>
    </w:p>
    <w:p w14:paraId="600E643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1．调研基本思路</w:t>
      </w:r>
    </w:p>
    <w:p w14:paraId="254F535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与区域内医药行业相关企业各级各类人员进行有效沟通，从宏观上把握行业、企业发展状况，企业人才需求变化和技术需求等。在此基础上确定专业人才培养对接的岗位、培养目标和人才规格等，为专业课程体系构建和专</w:t>
      </w:r>
      <w:bookmarkStart w:id="0" w:name="_GoBack"/>
      <w:bookmarkEnd w:id="0"/>
      <w:r>
        <w:rPr>
          <w:rFonts w:hint="eastAsia" w:ascii="方正仿宋_GBK" w:hAnsi="方正仿宋_GBK" w:eastAsia="方正仿宋_GBK" w:cs="方正仿宋_GBK"/>
          <w:color w:val="auto"/>
          <w:sz w:val="32"/>
          <w:szCs w:val="32"/>
          <w:lang w:val="en-US" w:eastAsia="zh-CN"/>
        </w:rPr>
        <w:t>业建设提出意见和建议。</w:t>
      </w:r>
    </w:p>
    <w:p w14:paraId="05F83D2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与国内同行院校的院系主任、专业带头人、骨干教师等就专业现状、人才培养、校企合作、教学管理等进行交流，寻找标杆院校，明确专业发展存在的问题，吸收兄弟院校好的做法，为专业建设确定科学合理的策略和方法。</w:t>
      </w:r>
    </w:p>
    <w:p w14:paraId="1F08837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2．调研对象与方法</w:t>
      </w:r>
    </w:p>
    <w:p w14:paraId="60EA9DE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（1）常州市医药行业协会；</w:t>
      </w:r>
    </w:p>
    <w:p w14:paraId="459FD49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（2）长三角地区的医药产品制造类企业和生物医药技术服务类企业（具体见下表1）。</w:t>
      </w:r>
    </w:p>
    <w:p w14:paraId="1A3AC33D">
      <w:pPr>
        <w:spacing w:line="360" w:lineRule="auto"/>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表1  调研企业基本情况表</w:t>
      </w:r>
    </w:p>
    <w:tbl>
      <w:tblPr>
        <w:tblStyle w:val="7"/>
        <w:tblW w:w="7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2"/>
        <w:gridCol w:w="3929"/>
        <w:gridCol w:w="1951"/>
      </w:tblGrid>
      <w:tr w14:paraId="42DC9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322" w:type="dxa"/>
            <w:vAlign w:val="center"/>
          </w:tcPr>
          <w:p w14:paraId="6DD6A5FC">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序号</w:t>
            </w:r>
          </w:p>
        </w:tc>
        <w:tc>
          <w:tcPr>
            <w:tcW w:w="3929" w:type="dxa"/>
            <w:vAlign w:val="center"/>
          </w:tcPr>
          <w:p w14:paraId="44C48150">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企业名称</w:t>
            </w:r>
          </w:p>
        </w:tc>
        <w:tc>
          <w:tcPr>
            <w:tcW w:w="1951" w:type="dxa"/>
            <w:vAlign w:val="center"/>
          </w:tcPr>
          <w:p w14:paraId="6702BCA4">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企业性质</w:t>
            </w:r>
          </w:p>
        </w:tc>
      </w:tr>
      <w:tr w14:paraId="675C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322" w:type="dxa"/>
            <w:vAlign w:val="center"/>
          </w:tcPr>
          <w:p w14:paraId="2637634F">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w:t>
            </w:r>
          </w:p>
        </w:tc>
        <w:tc>
          <w:tcPr>
            <w:tcW w:w="3929" w:type="dxa"/>
            <w:vAlign w:val="center"/>
          </w:tcPr>
          <w:p w14:paraId="30F0754E">
            <w:pPr>
              <w:adjustRightInd w:val="0"/>
              <w:snapToGrid w:val="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扬子江药业集团</w:t>
            </w:r>
          </w:p>
        </w:tc>
        <w:tc>
          <w:tcPr>
            <w:tcW w:w="1951" w:type="dxa"/>
            <w:vAlign w:val="center"/>
          </w:tcPr>
          <w:p w14:paraId="20410396">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制造类</w:t>
            </w:r>
          </w:p>
        </w:tc>
      </w:tr>
      <w:tr w14:paraId="718F9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322" w:type="dxa"/>
            <w:vAlign w:val="center"/>
          </w:tcPr>
          <w:p w14:paraId="58E74B5E">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w:t>
            </w:r>
          </w:p>
        </w:tc>
        <w:tc>
          <w:tcPr>
            <w:tcW w:w="3929" w:type="dxa"/>
            <w:vAlign w:val="center"/>
          </w:tcPr>
          <w:p w14:paraId="6B5BB9DD">
            <w:pPr>
              <w:adjustRightInd w:val="0"/>
              <w:snapToGrid w:val="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正大天晴药业集团</w:t>
            </w:r>
          </w:p>
        </w:tc>
        <w:tc>
          <w:tcPr>
            <w:tcW w:w="1951" w:type="dxa"/>
            <w:vAlign w:val="center"/>
          </w:tcPr>
          <w:p w14:paraId="4BC1007D">
            <w:pPr>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制造类</w:t>
            </w:r>
          </w:p>
        </w:tc>
      </w:tr>
      <w:tr w14:paraId="55464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322" w:type="dxa"/>
            <w:vAlign w:val="center"/>
          </w:tcPr>
          <w:p w14:paraId="363B67B2">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w:t>
            </w:r>
          </w:p>
        </w:tc>
        <w:tc>
          <w:tcPr>
            <w:tcW w:w="3929" w:type="dxa"/>
            <w:vAlign w:val="center"/>
          </w:tcPr>
          <w:p w14:paraId="1B339B07">
            <w:pPr>
              <w:adjustRightInd w:val="0"/>
              <w:snapToGrid w:val="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江苏恒瑞医药股份有限公司</w:t>
            </w:r>
          </w:p>
        </w:tc>
        <w:tc>
          <w:tcPr>
            <w:tcW w:w="1951" w:type="dxa"/>
            <w:vAlign w:val="center"/>
          </w:tcPr>
          <w:p w14:paraId="7505EB00">
            <w:pPr>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制造类</w:t>
            </w:r>
          </w:p>
        </w:tc>
      </w:tr>
      <w:tr w14:paraId="61C8F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322" w:type="dxa"/>
            <w:vAlign w:val="center"/>
          </w:tcPr>
          <w:p w14:paraId="494D8692">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w:t>
            </w:r>
          </w:p>
        </w:tc>
        <w:tc>
          <w:tcPr>
            <w:tcW w:w="3929" w:type="dxa"/>
            <w:vAlign w:val="center"/>
          </w:tcPr>
          <w:p w14:paraId="5BA15B7C">
            <w:pPr>
              <w:adjustRightInd w:val="0"/>
              <w:snapToGrid w:val="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江苏豪森药业集团有限公司</w:t>
            </w:r>
          </w:p>
        </w:tc>
        <w:tc>
          <w:tcPr>
            <w:tcW w:w="1951" w:type="dxa"/>
            <w:vAlign w:val="center"/>
          </w:tcPr>
          <w:p w14:paraId="6812B9EB">
            <w:pPr>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制造类</w:t>
            </w:r>
          </w:p>
        </w:tc>
      </w:tr>
      <w:tr w14:paraId="3F02B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322" w:type="dxa"/>
            <w:vAlign w:val="center"/>
          </w:tcPr>
          <w:p w14:paraId="476C1A81">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5</w:t>
            </w:r>
          </w:p>
        </w:tc>
        <w:tc>
          <w:tcPr>
            <w:tcW w:w="3929" w:type="dxa"/>
            <w:vAlign w:val="center"/>
          </w:tcPr>
          <w:p w14:paraId="5CE9E958">
            <w:pPr>
              <w:adjustRightInd w:val="0"/>
              <w:snapToGrid w:val="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江苏康缘药业股份有限公司</w:t>
            </w:r>
          </w:p>
        </w:tc>
        <w:tc>
          <w:tcPr>
            <w:tcW w:w="1951" w:type="dxa"/>
            <w:vAlign w:val="center"/>
          </w:tcPr>
          <w:p w14:paraId="21F09C7B">
            <w:pPr>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制造类</w:t>
            </w:r>
          </w:p>
        </w:tc>
      </w:tr>
      <w:tr w14:paraId="08C24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322" w:type="dxa"/>
            <w:vAlign w:val="center"/>
          </w:tcPr>
          <w:p w14:paraId="0B3AC164">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6</w:t>
            </w:r>
          </w:p>
        </w:tc>
        <w:tc>
          <w:tcPr>
            <w:tcW w:w="3929" w:type="dxa"/>
            <w:vAlign w:val="center"/>
          </w:tcPr>
          <w:p w14:paraId="273358B9">
            <w:pPr>
              <w:adjustRightInd w:val="0"/>
              <w:snapToGrid w:val="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常州制药厂有限公司</w:t>
            </w:r>
          </w:p>
        </w:tc>
        <w:tc>
          <w:tcPr>
            <w:tcW w:w="1951" w:type="dxa"/>
            <w:vAlign w:val="center"/>
          </w:tcPr>
          <w:p w14:paraId="4BB88385">
            <w:pPr>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制造类</w:t>
            </w:r>
          </w:p>
        </w:tc>
      </w:tr>
      <w:tr w14:paraId="47D6D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322" w:type="dxa"/>
            <w:vAlign w:val="center"/>
          </w:tcPr>
          <w:p w14:paraId="1E4A5349">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7</w:t>
            </w:r>
          </w:p>
        </w:tc>
        <w:tc>
          <w:tcPr>
            <w:tcW w:w="3929" w:type="dxa"/>
            <w:vAlign w:val="center"/>
          </w:tcPr>
          <w:p w14:paraId="23F15688">
            <w:pPr>
              <w:adjustRightInd w:val="0"/>
              <w:snapToGrid w:val="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常州四药有限公司</w:t>
            </w:r>
          </w:p>
        </w:tc>
        <w:tc>
          <w:tcPr>
            <w:tcW w:w="1951" w:type="dxa"/>
            <w:vAlign w:val="center"/>
          </w:tcPr>
          <w:p w14:paraId="216ADA9F">
            <w:pPr>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制造类</w:t>
            </w:r>
          </w:p>
        </w:tc>
      </w:tr>
      <w:tr w14:paraId="1012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322" w:type="dxa"/>
            <w:vAlign w:val="center"/>
          </w:tcPr>
          <w:p w14:paraId="150EF97E">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8</w:t>
            </w:r>
          </w:p>
        </w:tc>
        <w:tc>
          <w:tcPr>
            <w:tcW w:w="3929" w:type="dxa"/>
            <w:vAlign w:val="center"/>
          </w:tcPr>
          <w:p w14:paraId="6106B597">
            <w:pPr>
              <w:adjustRightInd w:val="0"/>
              <w:snapToGrid w:val="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常州千红生化制药股份有限公司</w:t>
            </w:r>
          </w:p>
        </w:tc>
        <w:tc>
          <w:tcPr>
            <w:tcW w:w="1951" w:type="dxa"/>
            <w:vAlign w:val="center"/>
          </w:tcPr>
          <w:p w14:paraId="37172355">
            <w:pPr>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制造类</w:t>
            </w:r>
          </w:p>
        </w:tc>
      </w:tr>
      <w:tr w14:paraId="6548B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322" w:type="dxa"/>
            <w:vAlign w:val="center"/>
          </w:tcPr>
          <w:p w14:paraId="536DD100">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9</w:t>
            </w:r>
          </w:p>
        </w:tc>
        <w:tc>
          <w:tcPr>
            <w:tcW w:w="3929" w:type="dxa"/>
            <w:vAlign w:val="center"/>
          </w:tcPr>
          <w:p w14:paraId="039A862D">
            <w:pPr>
              <w:adjustRightInd w:val="0"/>
              <w:snapToGrid w:val="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苏州诺华制药科技有限公司</w:t>
            </w:r>
          </w:p>
        </w:tc>
        <w:tc>
          <w:tcPr>
            <w:tcW w:w="1951" w:type="dxa"/>
            <w:vAlign w:val="center"/>
          </w:tcPr>
          <w:p w14:paraId="7B737FCB">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技术服务类</w:t>
            </w:r>
          </w:p>
        </w:tc>
      </w:tr>
      <w:tr w14:paraId="38BAC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322" w:type="dxa"/>
            <w:vAlign w:val="center"/>
          </w:tcPr>
          <w:p w14:paraId="206EBE5A">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10</w:t>
            </w:r>
          </w:p>
        </w:tc>
        <w:tc>
          <w:tcPr>
            <w:tcW w:w="3929" w:type="dxa"/>
            <w:vAlign w:val="center"/>
          </w:tcPr>
          <w:p w14:paraId="39A52CB4">
            <w:pPr>
              <w:adjustRightInd w:val="0"/>
              <w:snapToGrid w:val="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惠氏制药有限公司</w:t>
            </w:r>
          </w:p>
        </w:tc>
        <w:tc>
          <w:tcPr>
            <w:tcW w:w="1951" w:type="dxa"/>
            <w:vAlign w:val="center"/>
          </w:tcPr>
          <w:p w14:paraId="09D1799E">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制造类</w:t>
            </w:r>
          </w:p>
        </w:tc>
      </w:tr>
      <w:tr w14:paraId="0BF59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322" w:type="dxa"/>
            <w:vAlign w:val="center"/>
          </w:tcPr>
          <w:p w14:paraId="3E64D56E">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11</w:t>
            </w:r>
          </w:p>
        </w:tc>
        <w:tc>
          <w:tcPr>
            <w:tcW w:w="3929" w:type="dxa"/>
            <w:vAlign w:val="center"/>
          </w:tcPr>
          <w:p w14:paraId="6AEDFC34">
            <w:pPr>
              <w:adjustRightInd w:val="0"/>
              <w:snapToGrid w:val="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常州合全药业有限公司</w:t>
            </w:r>
          </w:p>
        </w:tc>
        <w:tc>
          <w:tcPr>
            <w:tcW w:w="1951" w:type="dxa"/>
            <w:vAlign w:val="center"/>
          </w:tcPr>
          <w:p w14:paraId="65A71358">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技术服务类</w:t>
            </w:r>
          </w:p>
        </w:tc>
      </w:tr>
      <w:tr w14:paraId="3ACEA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322" w:type="dxa"/>
            <w:vAlign w:val="center"/>
          </w:tcPr>
          <w:p w14:paraId="0730A893">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12</w:t>
            </w:r>
          </w:p>
        </w:tc>
        <w:tc>
          <w:tcPr>
            <w:tcW w:w="3929" w:type="dxa"/>
            <w:vAlign w:val="center"/>
          </w:tcPr>
          <w:p w14:paraId="2E0CA86C">
            <w:pPr>
              <w:adjustRightInd w:val="0"/>
              <w:snapToGrid w:val="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南京金斯瑞生物科技有限公司</w:t>
            </w:r>
          </w:p>
        </w:tc>
        <w:tc>
          <w:tcPr>
            <w:tcW w:w="1951" w:type="dxa"/>
            <w:vAlign w:val="center"/>
          </w:tcPr>
          <w:p w14:paraId="5C984568">
            <w:pPr>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技术服务类</w:t>
            </w:r>
          </w:p>
        </w:tc>
      </w:tr>
      <w:tr w14:paraId="12519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322" w:type="dxa"/>
            <w:vAlign w:val="center"/>
          </w:tcPr>
          <w:p w14:paraId="3A6979D8">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13</w:t>
            </w:r>
          </w:p>
        </w:tc>
        <w:tc>
          <w:tcPr>
            <w:tcW w:w="3929" w:type="dxa"/>
            <w:vAlign w:val="center"/>
          </w:tcPr>
          <w:p w14:paraId="37D7A996">
            <w:pPr>
              <w:adjustRightInd w:val="0"/>
              <w:snapToGrid w:val="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无锡药明康德生物技术有限公司</w:t>
            </w:r>
          </w:p>
        </w:tc>
        <w:tc>
          <w:tcPr>
            <w:tcW w:w="1951" w:type="dxa"/>
            <w:vAlign w:val="center"/>
          </w:tcPr>
          <w:p w14:paraId="2E3148CA">
            <w:pPr>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技术服务类</w:t>
            </w:r>
          </w:p>
        </w:tc>
      </w:tr>
      <w:tr w14:paraId="3D491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322" w:type="dxa"/>
            <w:vAlign w:val="center"/>
          </w:tcPr>
          <w:p w14:paraId="22A2728C">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14</w:t>
            </w:r>
          </w:p>
        </w:tc>
        <w:tc>
          <w:tcPr>
            <w:tcW w:w="3929" w:type="dxa"/>
            <w:vAlign w:val="center"/>
          </w:tcPr>
          <w:p w14:paraId="334A22C4">
            <w:pPr>
              <w:adjustRightInd w:val="0"/>
              <w:snapToGrid w:val="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上海君实生物医药科技有限公司</w:t>
            </w:r>
          </w:p>
        </w:tc>
        <w:tc>
          <w:tcPr>
            <w:tcW w:w="1951" w:type="dxa"/>
            <w:vAlign w:val="center"/>
          </w:tcPr>
          <w:p w14:paraId="5FF714FC">
            <w:pPr>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技术服务类</w:t>
            </w:r>
          </w:p>
        </w:tc>
      </w:tr>
      <w:tr w14:paraId="43CA1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322" w:type="dxa"/>
            <w:vAlign w:val="center"/>
          </w:tcPr>
          <w:p w14:paraId="731C714D">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15</w:t>
            </w:r>
          </w:p>
        </w:tc>
        <w:tc>
          <w:tcPr>
            <w:tcW w:w="3929" w:type="dxa"/>
            <w:vAlign w:val="center"/>
          </w:tcPr>
          <w:p w14:paraId="79FD71B5">
            <w:pPr>
              <w:adjustRightInd w:val="0"/>
              <w:snapToGrid w:val="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江苏佳尔科药业集团</w:t>
            </w:r>
          </w:p>
        </w:tc>
        <w:tc>
          <w:tcPr>
            <w:tcW w:w="1951" w:type="dxa"/>
            <w:vAlign w:val="center"/>
          </w:tcPr>
          <w:p w14:paraId="43FE5B35">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制造类</w:t>
            </w:r>
          </w:p>
        </w:tc>
      </w:tr>
      <w:tr w14:paraId="4D897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322" w:type="dxa"/>
            <w:vAlign w:val="center"/>
          </w:tcPr>
          <w:p w14:paraId="401D87C0">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16</w:t>
            </w:r>
          </w:p>
        </w:tc>
        <w:tc>
          <w:tcPr>
            <w:tcW w:w="3929" w:type="dxa"/>
            <w:vAlign w:val="center"/>
          </w:tcPr>
          <w:p w14:paraId="0553F299">
            <w:pPr>
              <w:adjustRightInd w:val="0"/>
              <w:snapToGrid w:val="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常山生化制药（江苏）有限公司</w:t>
            </w:r>
          </w:p>
        </w:tc>
        <w:tc>
          <w:tcPr>
            <w:tcW w:w="1951" w:type="dxa"/>
            <w:vAlign w:val="center"/>
          </w:tcPr>
          <w:p w14:paraId="3860F435">
            <w:pPr>
              <w:adjustRightInd w:val="0"/>
              <w:snapToGrid w:val="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制造类</w:t>
            </w:r>
          </w:p>
        </w:tc>
      </w:tr>
    </w:tbl>
    <w:p w14:paraId="56B532DE">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（3）上述企业人力资源管理人员16名，企业生产技术人员25名，实习学生30名，毕业就业学生20名；</w:t>
      </w:r>
    </w:p>
    <w:p w14:paraId="2A6CDE36">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（4）国内开设药品生产技术专业的兄弟院校如下：</w:t>
      </w:r>
    </w:p>
    <w:p w14:paraId="10F0B143">
      <w:pPr>
        <w:spacing w:line="360" w:lineRule="auto"/>
        <w:jc w:val="center"/>
        <w:rPr>
          <w:rFonts w:hint="default"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 xml:space="preserve">表2 国内开设药品生产技术专业的兄弟院校一览表 </w:t>
      </w:r>
    </w:p>
    <w:tbl>
      <w:tblPr>
        <w:tblStyle w:val="7"/>
        <w:tblW w:w="84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3432"/>
        <w:gridCol w:w="4173"/>
      </w:tblGrid>
      <w:tr w14:paraId="6719D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620B4280">
            <w:pPr>
              <w:spacing w:line="360" w:lineRule="auto"/>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序号</w:t>
            </w:r>
          </w:p>
        </w:tc>
        <w:tc>
          <w:tcPr>
            <w:tcW w:w="3432" w:type="dxa"/>
          </w:tcPr>
          <w:p w14:paraId="5CA1C995">
            <w:pPr>
              <w:spacing w:line="360" w:lineRule="auto"/>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学校名称</w:t>
            </w:r>
          </w:p>
        </w:tc>
        <w:tc>
          <w:tcPr>
            <w:tcW w:w="4173" w:type="dxa"/>
          </w:tcPr>
          <w:p w14:paraId="6AE6689B">
            <w:pPr>
              <w:spacing w:line="360" w:lineRule="auto"/>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交流人员</w:t>
            </w:r>
          </w:p>
        </w:tc>
      </w:tr>
      <w:tr w14:paraId="7FD92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47613722">
            <w:pPr>
              <w:spacing w:line="360" w:lineRule="auto"/>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w:t>
            </w:r>
          </w:p>
        </w:tc>
        <w:tc>
          <w:tcPr>
            <w:tcW w:w="3432" w:type="dxa"/>
          </w:tcPr>
          <w:p w14:paraId="7067C7E9">
            <w:pPr>
              <w:spacing w:line="360" w:lineRule="auto"/>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河北化工医药职业技术学院</w:t>
            </w:r>
          </w:p>
        </w:tc>
        <w:tc>
          <w:tcPr>
            <w:tcW w:w="4173" w:type="dxa"/>
          </w:tcPr>
          <w:p w14:paraId="166CD4CE">
            <w:pPr>
              <w:spacing w:line="360" w:lineRule="auto"/>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院系部主任、专业带头人、骨干教师</w:t>
            </w:r>
          </w:p>
        </w:tc>
      </w:tr>
      <w:tr w14:paraId="56E0F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1749EADA">
            <w:pPr>
              <w:spacing w:line="360" w:lineRule="auto"/>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w:t>
            </w:r>
          </w:p>
        </w:tc>
        <w:tc>
          <w:tcPr>
            <w:tcW w:w="3432" w:type="dxa"/>
          </w:tcPr>
          <w:p w14:paraId="32AB76B1">
            <w:pPr>
              <w:spacing w:line="360" w:lineRule="auto"/>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广东食品药品职业技术学院</w:t>
            </w:r>
          </w:p>
        </w:tc>
        <w:tc>
          <w:tcPr>
            <w:tcW w:w="4173" w:type="dxa"/>
            <w:vAlign w:val="center"/>
          </w:tcPr>
          <w:p w14:paraId="36C701FD">
            <w:pP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专业带头人、骨干教师</w:t>
            </w:r>
          </w:p>
        </w:tc>
      </w:tr>
      <w:tr w14:paraId="20417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56168553">
            <w:pPr>
              <w:spacing w:line="360" w:lineRule="auto"/>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w:t>
            </w:r>
          </w:p>
        </w:tc>
        <w:tc>
          <w:tcPr>
            <w:tcW w:w="3432" w:type="dxa"/>
          </w:tcPr>
          <w:p w14:paraId="1451B3F9">
            <w:pPr>
              <w:spacing w:line="360" w:lineRule="auto"/>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江苏食品药品职业技术学院</w:t>
            </w:r>
          </w:p>
        </w:tc>
        <w:tc>
          <w:tcPr>
            <w:tcW w:w="4173" w:type="dxa"/>
            <w:vAlign w:val="center"/>
          </w:tcPr>
          <w:p w14:paraId="357C6536">
            <w:pP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院系部主任、专业带头人、骨干教师</w:t>
            </w:r>
          </w:p>
        </w:tc>
      </w:tr>
      <w:tr w14:paraId="5DFC7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3CBA2902">
            <w:pPr>
              <w:spacing w:line="360" w:lineRule="auto"/>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w:t>
            </w:r>
          </w:p>
        </w:tc>
        <w:tc>
          <w:tcPr>
            <w:tcW w:w="3432" w:type="dxa"/>
          </w:tcPr>
          <w:p w14:paraId="3A37A23F">
            <w:pPr>
              <w:spacing w:line="360" w:lineRule="auto"/>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徐州工业职业技术学院</w:t>
            </w:r>
          </w:p>
        </w:tc>
        <w:tc>
          <w:tcPr>
            <w:tcW w:w="4173" w:type="dxa"/>
            <w:vAlign w:val="center"/>
          </w:tcPr>
          <w:p w14:paraId="6691EFD6">
            <w:pP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专业带头人、骨干教师</w:t>
            </w:r>
          </w:p>
        </w:tc>
      </w:tr>
      <w:tr w14:paraId="6347D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2533F43A">
            <w:pPr>
              <w:spacing w:line="360" w:lineRule="auto"/>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5</w:t>
            </w:r>
          </w:p>
        </w:tc>
        <w:tc>
          <w:tcPr>
            <w:tcW w:w="3432" w:type="dxa"/>
          </w:tcPr>
          <w:p w14:paraId="3071A3E4">
            <w:pPr>
              <w:spacing w:line="360" w:lineRule="auto"/>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天津职业大学</w:t>
            </w:r>
          </w:p>
        </w:tc>
        <w:tc>
          <w:tcPr>
            <w:tcW w:w="4173" w:type="dxa"/>
            <w:vAlign w:val="center"/>
          </w:tcPr>
          <w:p w14:paraId="6984C309">
            <w:pP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院系部主任、专业带头人、骨干教师</w:t>
            </w:r>
          </w:p>
        </w:tc>
      </w:tr>
      <w:tr w14:paraId="36AF7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27ED6257">
            <w:pPr>
              <w:spacing w:line="360" w:lineRule="auto"/>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6</w:t>
            </w:r>
          </w:p>
        </w:tc>
        <w:tc>
          <w:tcPr>
            <w:tcW w:w="3432" w:type="dxa"/>
          </w:tcPr>
          <w:p w14:paraId="6AA5178E">
            <w:pPr>
              <w:spacing w:line="360" w:lineRule="auto"/>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金华职业技术学院</w:t>
            </w:r>
          </w:p>
        </w:tc>
        <w:tc>
          <w:tcPr>
            <w:tcW w:w="4173" w:type="dxa"/>
            <w:vAlign w:val="center"/>
          </w:tcPr>
          <w:p w14:paraId="0DA406AB">
            <w:pP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院系部主任、专业带头人、骨干教师</w:t>
            </w:r>
          </w:p>
        </w:tc>
      </w:tr>
      <w:tr w14:paraId="3F2D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1F0C41E0">
            <w:pPr>
              <w:spacing w:line="360" w:lineRule="auto"/>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7</w:t>
            </w:r>
          </w:p>
        </w:tc>
        <w:tc>
          <w:tcPr>
            <w:tcW w:w="3432" w:type="dxa"/>
          </w:tcPr>
          <w:p w14:paraId="40D14FB5">
            <w:pPr>
              <w:spacing w:line="360" w:lineRule="auto"/>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浙江医药高等专科学校</w:t>
            </w:r>
          </w:p>
        </w:tc>
        <w:tc>
          <w:tcPr>
            <w:tcW w:w="4173" w:type="dxa"/>
            <w:vAlign w:val="center"/>
          </w:tcPr>
          <w:p w14:paraId="3FA67EBA">
            <w:pP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院系部主任、专业带头人、骨干教师</w:t>
            </w:r>
          </w:p>
        </w:tc>
      </w:tr>
      <w:tr w14:paraId="38437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7778491F">
            <w:pPr>
              <w:spacing w:line="360" w:lineRule="auto"/>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8</w:t>
            </w:r>
          </w:p>
        </w:tc>
        <w:tc>
          <w:tcPr>
            <w:tcW w:w="3432" w:type="dxa"/>
          </w:tcPr>
          <w:p w14:paraId="04961073">
            <w:pPr>
              <w:spacing w:line="360" w:lineRule="auto"/>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武汉职业技术学院</w:t>
            </w:r>
          </w:p>
        </w:tc>
        <w:tc>
          <w:tcPr>
            <w:tcW w:w="4173" w:type="dxa"/>
            <w:vAlign w:val="center"/>
          </w:tcPr>
          <w:p w14:paraId="2D845576">
            <w:pP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院系部主任、专业带头人、骨干教师</w:t>
            </w:r>
          </w:p>
        </w:tc>
      </w:tr>
      <w:tr w14:paraId="482D5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330DC1C3">
            <w:pPr>
              <w:spacing w:line="360" w:lineRule="auto"/>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9</w:t>
            </w:r>
          </w:p>
        </w:tc>
        <w:tc>
          <w:tcPr>
            <w:tcW w:w="3432" w:type="dxa"/>
          </w:tcPr>
          <w:p w14:paraId="598242AC">
            <w:pPr>
              <w:spacing w:line="360" w:lineRule="auto"/>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南京科技职业技术学院</w:t>
            </w:r>
          </w:p>
        </w:tc>
        <w:tc>
          <w:tcPr>
            <w:tcW w:w="4173" w:type="dxa"/>
            <w:vAlign w:val="center"/>
          </w:tcPr>
          <w:p w14:paraId="31159FCB">
            <w:pP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专业带头人、骨干教师</w:t>
            </w:r>
          </w:p>
        </w:tc>
      </w:tr>
      <w:tr w14:paraId="3DA76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75BADB27">
            <w:pPr>
              <w:spacing w:line="360" w:lineRule="auto"/>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10</w:t>
            </w:r>
          </w:p>
        </w:tc>
        <w:tc>
          <w:tcPr>
            <w:tcW w:w="3432" w:type="dxa"/>
          </w:tcPr>
          <w:p w14:paraId="2B925C85">
            <w:pPr>
              <w:spacing w:line="360" w:lineRule="auto"/>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江苏农林职业技术学院</w:t>
            </w:r>
          </w:p>
        </w:tc>
        <w:tc>
          <w:tcPr>
            <w:tcW w:w="4173" w:type="dxa"/>
            <w:vAlign w:val="center"/>
          </w:tcPr>
          <w:p w14:paraId="628FDEB5">
            <w:pP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院系部主任、专业带头人、骨干教师</w:t>
            </w:r>
          </w:p>
        </w:tc>
      </w:tr>
    </w:tbl>
    <w:p w14:paraId="327F3951">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3．调研方法</w:t>
      </w:r>
    </w:p>
    <w:p w14:paraId="6AA16827">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采用书面问卷、网络查阅、电话访谈、个别面谈、座谈会等方式进行调研。</w:t>
      </w:r>
    </w:p>
    <w:p w14:paraId="12721258">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4．调研主要内容</w:t>
      </w:r>
    </w:p>
    <w:p w14:paraId="32D2BC14">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本次行业企业调研主要在了解企业规模、主要经营方式、人才结构和人才要求的基础上，重点把握企业主要岗位设置、岗位能力要求、岗位主要工作任务和工作流程等。</w:t>
      </w:r>
    </w:p>
    <w:p w14:paraId="4DC6467A">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本次兄弟院校调研主要在了解学生规模、师资力量、实训室、人才培养质量的基础上，重点交流专业方向设置、课程体系、校企合作、师资培养、教学管理等。</w:t>
      </w:r>
    </w:p>
    <w:p w14:paraId="1EA1534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二、调研分析</w:t>
      </w:r>
    </w:p>
    <w:p w14:paraId="210E7BE7">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1.国家医药产业政策和药品监管机制体制改革</w:t>
      </w:r>
    </w:p>
    <w:p w14:paraId="1D66C2C9">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（1）“健康中国2030”战略全面实施；</w:t>
      </w:r>
    </w:p>
    <w:p w14:paraId="1AE7C52B">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（2）《疫苗法》颁布，《药品管理法》修订；</w:t>
      </w:r>
    </w:p>
    <w:p w14:paraId="1ABFA999">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（3）药品监督管理职能转换，药品监督管理由事前监管为主逐步过渡为事中和事后监管为主；</w:t>
      </w:r>
    </w:p>
    <w:p w14:paraId="0D927764">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（3）“药品集中统一采购”、“一致性评价”、“进口药品价格国家谈判”等政策落地开花。</w:t>
      </w:r>
    </w:p>
    <w:p w14:paraId="14FBF1B7">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2.江苏省医药产业变化分析</w:t>
      </w:r>
    </w:p>
    <w:p w14:paraId="3E159CFB">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江苏是我国医药产业的发达地区，年产值突破3000亿元，总量规模约占全国的10.7%。近年来，以基因工程药物、免疫药物为主的新生物制药企业在各地区政府重点支持下发展迅速，一些化学原料药和制剂生产企业也逐步进入生物制药领域。另近十年来，以研发服务、技术服务为主的生物医药技术服务企业在苏南各地市蓬勃兴起，成为制造类企业创新升级的有力支撑。</w:t>
      </w:r>
    </w:p>
    <w:p w14:paraId="2825479D">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按照《江苏省“十三五”战略性新兴产业发展规划》，今后5年江苏将以培育生物经济为核心，大力发展生物医药、生物医学工程等，着力培育壮大医药骨干企业，促进新药研发从仿制为主向创仿结合、优势领域以创新为主的转变，实现新医药产业规模和发展水平双提升，形成一批产值规模超千亿，且各具特色、错位发展的产业集群，为“健康江苏”提供新支撑。</w:t>
      </w:r>
    </w:p>
    <w:p w14:paraId="6E43C95B">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3.专业职业面向分析</w:t>
      </w:r>
    </w:p>
    <w:p w14:paraId="23C0174F">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（1）专业学生就业主要面向的行业为制药行业和生物医药技术服务行业</w:t>
      </w:r>
    </w:p>
    <w:p w14:paraId="6FB04AF6">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（2）专业学生主要就业单位为江苏的药品制造类企业和生物医药技术服务类企业，少数在长三角其他地区；学生比较倾向于生物医药技术服务企业。</w:t>
      </w:r>
    </w:p>
    <w:p w14:paraId="4B21B048">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（3）专业学生主要就业部门为生产管理部门（包括生产车间）、质量管理部门、产品研究开发部门、技术服务部门等。</w:t>
      </w:r>
    </w:p>
    <w:p w14:paraId="19496BCB">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4）专业学生初次就业主要从事的工作岗位有生产操作员、质量控制（QC）、研发助理（小试、中试、实验员、技术服务员等）等，学生毕业3-5年后可发展的岗位主要有工艺员和质量保证（QA）等。制造类企业研发部门的小试、中试岗位和技术服务类企业的实验员和技术服务员普遍受学生欢迎，稳定性高，就业率逐年递增。</w:t>
      </w:r>
    </w:p>
    <w:p w14:paraId="15416193">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4.人才需求分析</w:t>
      </w:r>
    </w:p>
    <w:p w14:paraId="40C7CF6A">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长三角区域发展规划》、《江苏省“十三五”战略新兴产业规划》和《常州市“十三五”规划》中都明确，按照“健康中国”战略部署，区域医药产业将重点发展基因工程药物、传统生物技术新药、合成新药和新型制剂等。这些领域技术要求高，对技术人才的能力和综合素质要求相对较高。医药产品生产型企业为了适应社会进步、技术发展，转型升级步伐加快，对生产技术人员的需求基本保持平稳，调研企业普遍制定了技术人才3-5年需求计划，每家企业年需求量都在12人以上，普遍欢迎职业院校毕业的大专学生。“十二五”以来，长三角地区生物医药技术服务行业在各级政府的大力支持下蓬勃发展，成为推进制药工业转型升级的新兴力量，也成为吸纳生物医药技术型人才的重要力量。</w:t>
      </w:r>
    </w:p>
    <w:p w14:paraId="38D7138E">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5.各岗位能力分析</w:t>
      </w:r>
    </w:p>
    <w:p w14:paraId="353C2C65">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各岗位能力分享如下表3。</w:t>
      </w:r>
    </w:p>
    <w:p w14:paraId="1FA276EE">
      <w:pPr>
        <w:adjustRightInd w:val="0"/>
        <w:snapToGrid w:val="0"/>
        <w:jc w:val="center"/>
        <w:rPr>
          <w:rFonts w:hint="eastAsia" w:ascii="微软雅黑" w:hAnsi="微软雅黑" w:eastAsia="微软雅黑" w:cs="微软雅黑"/>
          <w:b w:val="0"/>
          <w:bCs/>
          <w:sz w:val="24"/>
          <w:szCs w:val="24"/>
        </w:rPr>
      </w:pPr>
    </w:p>
    <w:p w14:paraId="6770850B">
      <w:pPr>
        <w:adjustRightInd w:val="0"/>
        <w:snapToGrid w:val="0"/>
        <w:jc w:val="center"/>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表3</w:t>
      </w:r>
      <w:r>
        <w:rPr>
          <w:rFonts w:hint="eastAsia" w:ascii="微软雅黑" w:hAnsi="微软雅黑" w:eastAsia="微软雅黑" w:cs="微软雅黑"/>
          <w:b w:val="0"/>
          <w:bCs/>
          <w:sz w:val="24"/>
          <w:szCs w:val="24"/>
          <w:lang w:val="en-US" w:eastAsia="zh-CN"/>
        </w:rPr>
        <w:t xml:space="preserve"> </w:t>
      </w:r>
      <w:r>
        <w:rPr>
          <w:rFonts w:hint="eastAsia" w:ascii="微软雅黑" w:hAnsi="微软雅黑" w:eastAsia="微软雅黑" w:cs="微软雅黑"/>
          <w:b w:val="0"/>
          <w:bCs/>
          <w:sz w:val="24"/>
          <w:szCs w:val="24"/>
        </w:rPr>
        <w:t>岗位能力分析表</w:t>
      </w:r>
    </w:p>
    <w:tbl>
      <w:tblPr>
        <w:tblStyle w:val="6"/>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058"/>
        <w:gridCol w:w="661"/>
        <w:gridCol w:w="688"/>
        <w:gridCol w:w="3418"/>
        <w:gridCol w:w="3290"/>
      </w:tblGrid>
      <w:tr w14:paraId="74B67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427" w:type="dxa"/>
            <w:vMerge w:val="restart"/>
            <w:vAlign w:val="center"/>
          </w:tcPr>
          <w:p w14:paraId="55EFEF3D">
            <w:pPr>
              <w:adjustRightInd w:val="0"/>
              <w:snapToGrid w:val="0"/>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序号</w:t>
            </w:r>
          </w:p>
        </w:tc>
        <w:tc>
          <w:tcPr>
            <w:tcW w:w="846" w:type="dxa"/>
            <w:vMerge w:val="restart"/>
            <w:vAlign w:val="center"/>
          </w:tcPr>
          <w:p w14:paraId="48E99C42">
            <w:pPr>
              <w:adjustRightInd w:val="0"/>
              <w:snapToGrid w:val="0"/>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岗位名称</w:t>
            </w:r>
          </w:p>
        </w:tc>
        <w:tc>
          <w:tcPr>
            <w:tcW w:w="1372" w:type="dxa"/>
            <w:gridSpan w:val="2"/>
            <w:vAlign w:val="center"/>
          </w:tcPr>
          <w:p w14:paraId="7D10909F">
            <w:pPr>
              <w:adjustRightInd w:val="0"/>
              <w:snapToGrid w:val="0"/>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岗位类别</w:t>
            </w:r>
          </w:p>
        </w:tc>
        <w:tc>
          <w:tcPr>
            <w:tcW w:w="3524" w:type="dxa"/>
            <w:vMerge w:val="restart"/>
            <w:vAlign w:val="center"/>
          </w:tcPr>
          <w:p w14:paraId="2CEA337B">
            <w:pPr>
              <w:adjustRightInd w:val="0"/>
              <w:snapToGrid w:val="0"/>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岗位描述</w:t>
            </w:r>
          </w:p>
        </w:tc>
        <w:tc>
          <w:tcPr>
            <w:tcW w:w="3402" w:type="dxa"/>
            <w:vMerge w:val="restart"/>
            <w:vAlign w:val="center"/>
          </w:tcPr>
          <w:p w14:paraId="7C5A972A">
            <w:pPr>
              <w:adjustRightInd w:val="0"/>
              <w:snapToGrid w:val="0"/>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岗位能力要求</w:t>
            </w:r>
          </w:p>
        </w:tc>
      </w:tr>
      <w:tr w14:paraId="4B70A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427" w:type="dxa"/>
            <w:vMerge w:val="continue"/>
            <w:vAlign w:val="center"/>
          </w:tcPr>
          <w:p w14:paraId="009DDD9E">
            <w:pPr>
              <w:adjustRightInd w:val="0"/>
              <w:snapToGrid w:val="0"/>
              <w:jc w:val="center"/>
              <w:rPr>
                <w:rFonts w:hint="eastAsia" w:ascii="微软雅黑" w:hAnsi="微软雅黑" w:eastAsia="微软雅黑" w:cs="微软雅黑"/>
                <w:sz w:val="24"/>
                <w:szCs w:val="24"/>
              </w:rPr>
            </w:pPr>
          </w:p>
        </w:tc>
        <w:tc>
          <w:tcPr>
            <w:tcW w:w="846" w:type="dxa"/>
            <w:vMerge w:val="continue"/>
            <w:vAlign w:val="center"/>
          </w:tcPr>
          <w:p w14:paraId="34A300E4">
            <w:pPr>
              <w:adjustRightInd w:val="0"/>
              <w:snapToGrid w:val="0"/>
              <w:ind w:leftChars="-3" w:hanging="7" w:hangingChars="3"/>
              <w:jc w:val="center"/>
              <w:rPr>
                <w:rFonts w:hint="eastAsia" w:ascii="微软雅黑" w:hAnsi="微软雅黑" w:eastAsia="微软雅黑" w:cs="微软雅黑"/>
                <w:sz w:val="24"/>
                <w:szCs w:val="24"/>
              </w:rPr>
            </w:pPr>
          </w:p>
        </w:tc>
        <w:tc>
          <w:tcPr>
            <w:tcW w:w="672" w:type="dxa"/>
            <w:vAlign w:val="center"/>
          </w:tcPr>
          <w:p w14:paraId="282DB8E4">
            <w:pPr>
              <w:adjustRightInd w:val="0"/>
              <w:snapToGrid w:val="0"/>
              <w:ind w:leftChars="-3" w:hanging="7" w:hangingChars="3"/>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初始</w:t>
            </w:r>
          </w:p>
          <w:p w14:paraId="75000E40">
            <w:pPr>
              <w:adjustRightInd w:val="0"/>
              <w:snapToGrid w:val="0"/>
              <w:ind w:leftChars="-3" w:hanging="7" w:hangingChars="3"/>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岗位</w:t>
            </w:r>
          </w:p>
        </w:tc>
        <w:tc>
          <w:tcPr>
            <w:tcW w:w="700" w:type="dxa"/>
            <w:vAlign w:val="center"/>
          </w:tcPr>
          <w:p w14:paraId="5D159672">
            <w:pPr>
              <w:adjustRightInd w:val="0"/>
              <w:snapToGrid w:val="0"/>
              <w:ind w:leftChars="-3" w:hanging="7" w:hangingChars="3"/>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发展</w:t>
            </w:r>
          </w:p>
          <w:p w14:paraId="173A1C85">
            <w:pPr>
              <w:adjustRightInd w:val="0"/>
              <w:snapToGrid w:val="0"/>
              <w:ind w:leftChars="-3" w:hanging="7" w:hangingChars="3"/>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岗位</w:t>
            </w:r>
          </w:p>
        </w:tc>
        <w:tc>
          <w:tcPr>
            <w:tcW w:w="3524" w:type="dxa"/>
            <w:vMerge w:val="continue"/>
            <w:vAlign w:val="center"/>
          </w:tcPr>
          <w:p w14:paraId="6DE44ACE">
            <w:pPr>
              <w:adjustRightInd w:val="0"/>
              <w:snapToGrid w:val="0"/>
              <w:ind w:leftChars="-3" w:hanging="7" w:hangingChars="3"/>
              <w:rPr>
                <w:rFonts w:hint="eastAsia" w:ascii="微软雅黑" w:hAnsi="微软雅黑" w:eastAsia="微软雅黑" w:cs="微软雅黑"/>
                <w:sz w:val="24"/>
                <w:szCs w:val="24"/>
              </w:rPr>
            </w:pPr>
          </w:p>
        </w:tc>
        <w:tc>
          <w:tcPr>
            <w:tcW w:w="3402" w:type="dxa"/>
            <w:vMerge w:val="continue"/>
            <w:vAlign w:val="center"/>
          </w:tcPr>
          <w:p w14:paraId="74B10CD8">
            <w:pPr>
              <w:adjustRightInd w:val="0"/>
              <w:snapToGrid w:val="0"/>
              <w:ind w:leftChars="-3" w:hanging="7" w:hangingChars="3"/>
              <w:rPr>
                <w:rFonts w:hint="eastAsia" w:ascii="微软雅黑" w:hAnsi="微软雅黑" w:eastAsia="微软雅黑" w:cs="微软雅黑"/>
                <w:sz w:val="24"/>
                <w:szCs w:val="24"/>
              </w:rPr>
            </w:pPr>
          </w:p>
        </w:tc>
      </w:tr>
      <w:tr w14:paraId="52A65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jc w:val="center"/>
        </w:trPr>
        <w:tc>
          <w:tcPr>
            <w:tcW w:w="427" w:type="dxa"/>
            <w:vAlign w:val="center"/>
          </w:tcPr>
          <w:p w14:paraId="18EFCE46">
            <w:pPr>
              <w:adjustRightInd w:val="0"/>
              <w:snapToGrid w:val="0"/>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p>
        </w:tc>
        <w:tc>
          <w:tcPr>
            <w:tcW w:w="846" w:type="dxa"/>
            <w:vAlign w:val="center"/>
          </w:tcPr>
          <w:p w14:paraId="5F8BE6D9">
            <w:pPr>
              <w:adjustRightInd w:val="0"/>
              <w:snapToGrid w:val="0"/>
              <w:ind w:leftChars="-3" w:hanging="7" w:hangingChars="3"/>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生产操作员</w:t>
            </w:r>
          </w:p>
        </w:tc>
        <w:tc>
          <w:tcPr>
            <w:tcW w:w="672" w:type="dxa"/>
            <w:vAlign w:val="center"/>
          </w:tcPr>
          <w:p w14:paraId="4AABDF40">
            <w:pPr>
              <w:adjustRightInd w:val="0"/>
              <w:snapToGrid w:val="0"/>
              <w:ind w:left="1" w:leftChars="-3" w:hanging="7" w:hangingChars="3"/>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p>
        </w:tc>
        <w:tc>
          <w:tcPr>
            <w:tcW w:w="700" w:type="dxa"/>
            <w:vAlign w:val="center"/>
          </w:tcPr>
          <w:p w14:paraId="4EC18714">
            <w:pPr>
              <w:adjustRightInd w:val="0"/>
              <w:snapToGrid w:val="0"/>
              <w:ind w:left="1" w:leftChars="-3" w:hanging="7" w:hangingChars="3"/>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p>
        </w:tc>
        <w:tc>
          <w:tcPr>
            <w:tcW w:w="3524" w:type="dxa"/>
            <w:vAlign w:val="center"/>
          </w:tcPr>
          <w:p w14:paraId="23DE9DE2">
            <w:pPr>
              <w:adjustRightInd w:val="0"/>
              <w:snapToGrid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1．严格按照标准操作规程进行工艺操作，对产品质量负有直接责任，有义务提出提高产品质量的合理化建议；</w:t>
            </w:r>
          </w:p>
          <w:p w14:paraId="3CF2D11B">
            <w:pPr>
              <w:adjustRightInd w:val="0"/>
              <w:snapToGrid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2．严格按照生产设备的标准操作规程（SOP），负责正确使用及维护生产设备；</w:t>
            </w:r>
          </w:p>
          <w:p w14:paraId="1CFDD336">
            <w:pPr>
              <w:adjustRightInd w:val="0"/>
              <w:snapToGrid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3．及时填写生产记录、设备使用记录等原始记录，对其填写内容的真实性负责；</w:t>
            </w:r>
          </w:p>
          <w:p w14:paraId="6CEE254B">
            <w:pPr>
              <w:adjustRightInd w:val="0"/>
              <w:snapToGrid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4．负责工作区域的清洁卫生。</w:t>
            </w:r>
          </w:p>
        </w:tc>
        <w:tc>
          <w:tcPr>
            <w:tcW w:w="3402" w:type="dxa"/>
            <w:vAlign w:val="center"/>
          </w:tcPr>
          <w:p w14:paraId="424C4A0C">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能运用药物合成技术，按照标准操作规程（SOP）进行化学原料药及其中间体合成的工艺操作；</w:t>
            </w:r>
          </w:p>
          <w:p w14:paraId="6D3532B4">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能运用现代生物技术，按照SOP进行生物药物制备的工艺操作；</w:t>
            </w:r>
          </w:p>
          <w:p w14:paraId="246C809F">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能运用制剂技术，按照SOP进行药品生产的工艺操作；</w:t>
            </w:r>
          </w:p>
          <w:p w14:paraId="0155D94C">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能按照SOP安全正确操作制药设备并进行维护；</w:t>
            </w:r>
          </w:p>
          <w:p w14:paraId="0B27056E">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能按照SOP正确进行生产区域的清场、清洁和消毒等</w:t>
            </w:r>
          </w:p>
        </w:tc>
      </w:tr>
      <w:tr w14:paraId="687D2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6" w:hRule="atLeast"/>
          <w:jc w:val="center"/>
        </w:trPr>
        <w:tc>
          <w:tcPr>
            <w:tcW w:w="427" w:type="dxa"/>
            <w:vAlign w:val="center"/>
          </w:tcPr>
          <w:p w14:paraId="1BB9F990">
            <w:pPr>
              <w:adjustRightInd w:val="0"/>
              <w:snapToGrid w:val="0"/>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p>
        </w:tc>
        <w:tc>
          <w:tcPr>
            <w:tcW w:w="846" w:type="dxa"/>
            <w:vAlign w:val="center"/>
          </w:tcPr>
          <w:p w14:paraId="3BC5187A">
            <w:pPr>
              <w:adjustRightInd w:val="0"/>
              <w:snapToGrid w:val="0"/>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质量控制（QC）</w:t>
            </w:r>
          </w:p>
        </w:tc>
        <w:tc>
          <w:tcPr>
            <w:tcW w:w="672" w:type="dxa"/>
            <w:vAlign w:val="center"/>
          </w:tcPr>
          <w:p w14:paraId="7265DD34">
            <w:pPr>
              <w:adjustRightInd w:val="0"/>
              <w:snapToGrid w:val="0"/>
              <w:ind w:left="1" w:leftChars="-3" w:hanging="7" w:hangingChars="3"/>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p>
        </w:tc>
        <w:tc>
          <w:tcPr>
            <w:tcW w:w="700" w:type="dxa"/>
            <w:vAlign w:val="center"/>
          </w:tcPr>
          <w:p w14:paraId="47349AEB">
            <w:pPr>
              <w:adjustRightInd w:val="0"/>
              <w:snapToGrid w:val="0"/>
              <w:ind w:left="1" w:leftChars="-3" w:hanging="7" w:hangingChars="3"/>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p>
        </w:tc>
        <w:tc>
          <w:tcPr>
            <w:tcW w:w="3524" w:type="dxa"/>
            <w:vAlign w:val="center"/>
          </w:tcPr>
          <w:p w14:paraId="2587403A">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1．严格按照已批准有效的技术标准，负责完成对原辅料、包装材料、半成品、中间品、成品的质量日常检验工作，对样品检验结果负责。</w:t>
            </w:r>
          </w:p>
          <w:p w14:paraId="31C5785F">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2．严格按照各类仪器的标准操作规程（SOP），负责正确使用及维护各类检验仪器。</w:t>
            </w:r>
          </w:p>
          <w:p w14:paraId="383097FF">
            <w:pPr>
              <w:adjustRightInd w:val="0"/>
              <w:snapToGrid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3．及时填写检验记录、仪器使用记录等原始记录，对其填写内容的真实性负责；</w:t>
            </w:r>
          </w:p>
          <w:p w14:paraId="52D01807">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4．负责工作区域的清洁卫生。</w:t>
            </w:r>
          </w:p>
        </w:tc>
        <w:tc>
          <w:tcPr>
            <w:tcW w:w="3402" w:type="dxa"/>
            <w:vAlign w:val="center"/>
          </w:tcPr>
          <w:p w14:paraId="6F58A4DD">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能运用现代分析技术，按照SOP进行原辅料、包装材料、中间体和成品等的分析检测；</w:t>
            </w:r>
          </w:p>
          <w:p w14:paraId="0890252B">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能按照SOP安全正确操作分析仪器设备并进行维护；</w:t>
            </w:r>
          </w:p>
          <w:p w14:paraId="1D274B97">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能按照SOP正确进行操作区域的清场、清洁和消毒等</w:t>
            </w:r>
          </w:p>
        </w:tc>
      </w:tr>
      <w:tr w14:paraId="3C347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8" w:hRule="atLeast"/>
          <w:jc w:val="center"/>
        </w:trPr>
        <w:tc>
          <w:tcPr>
            <w:tcW w:w="427" w:type="dxa"/>
            <w:vAlign w:val="center"/>
          </w:tcPr>
          <w:p w14:paraId="59DBC5CD">
            <w:pPr>
              <w:adjustRightInd w:val="0"/>
              <w:snapToGrid w:val="0"/>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p>
        </w:tc>
        <w:tc>
          <w:tcPr>
            <w:tcW w:w="846" w:type="dxa"/>
            <w:vAlign w:val="center"/>
          </w:tcPr>
          <w:p w14:paraId="4208D367">
            <w:pPr>
              <w:adjustRightInd w:val="0"/>
              <w:snapToGrid w:val="0"/>
              <w:ind w:leftChars="-3" w:hanging="7" w:hangingChars="3"/>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研发助理</w:t>
            </w:r>
          </w:p>
        </w:tc>
        <w:tc>
          <w:tcPr>
            <w:tcW w:w="672" w:type="dxa"/>
            <w:vAlign w:val="center"/>
          </w:tcPr>
          <w:p w14:paraId="388959B0">
            <w:pPr>
              <w:adjustRightInd w:val="0"/>
              <w:snapToGrid w:val="0"/>
              <w:ind w:left="1" w:leftChars="-3" w:hanging="7" w:hangingChars="3"/>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p>
        </w:tc>
        <w:tc>
          <w:tcPr>
            <w:tcW w:w="700" w:type="dxa"/>
            <w:vAlign w:val="center"/>
          </w:tcPr>
          <w:p w14:paraId="1E13C1A3">
            <w:pPr>
              <w:adjustRightInd w:val="0"/>
              <w:snapToGrid w:val="0"/>
              <w:ind w:left="1" w:leftChars="-3" w:hanging="7" w:hangingChars="3"/>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p>
        </w:tc>
        <w:tc>
          <w:tcPr>
            <w:tcW w:w="3524" w:type="dxa"/>
            <w:vAlign w:val="center"/>
          </w:tcPr>
          <w:p w14:paraId="26D2B2FC">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1．严格按照实验方案进行实验操作，及时正确填写实验记录、反馈实验过程和结果，对实验结果负责；</w:t>
            </w:r>
          </w:p>
          <w:p w14:paraId="5C37A8BD">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2．严格按照各类仪器、设备的标准操作规程（SOP），负责正确使用及维护各类检验仪器。</w:t>
            </w:r>
          </w:p>
          <w:p w14:paraId="1CA30C33">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3．负责工作区域的清洁卫生；</w:t>
            </w:r>
          </w:p>
        </w:tc>
        <w:tc>
          <w:tcPr>
            <w:tcW w:w="3402" w:type="dxa"/>
            <w:vAlign w:val="center"/>
          </w:tcPr>
          <w:p w14:paraId="2ED13A16">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能按照方案，运用化学原料药小试开发技术规范进行化学原料药及其中间体的小试实验；</w:t>
            </w:r>
          </w:p>
          <w:p w14:paraId="71A1680E">
            <w:pPr>
              <w:adjustRightInd w:val="0"/>
              <w:snapToGrid w:val="0"/>
              <w:ind w:left="1" w:leftChars="-3" w:hanging="7" w:hangingChars="3"/>
              <w:rPr>
                <w:rFonts w:hint="eastAsia" w:ascii="微软雅黑" w:hAnsi="微软雅黑" w:eastAsia="微软雅黑" w:cs="微软雅黑"/>
                <w:color w:val="000000" w:themeColor="text1"/>
                <w:sz w:val="24"/>
                <w:szCs w:val="24"/>
              </w:rPr>
            </w:pPr>
            <w:r>
              <w:rPr>
                <w:rFonts w:hint="eastAsia" w:ascii="微软雅黑" w:hAnsi="微软雅黑" w:eastAsia="微软雅黑" w:cs="微软雅黑"/>
                <w:color w:val="000000" w:themeColor="text1"/>
                <w:sz w:val="24"/>
                <w:szCs w:val="24"/>
              </w:rPr>
              <w:t>在项目经理指导下，能协助项目经理，运用中试放大技术，验证小试工艺,根据小试工艺设计中试方案，并进行中试放大。</w:t>
            </w:r>
          </w:p>
          <w:p w14:paraId="64A73842">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能按照方案，运用基因工程技术或细胞工程技术规范进行生物技术服务的实验操作；</w:t>
            </w:r>
          </w:p>
          <w:p w14:paraId="196B5CAB">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能进行药品制剂的配方初步设计，并规范进行配方试验；</w:t>
            </w:r>
          </w:p>
          <w:p w14:paraId="2AC9F7AA">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能按照SOP安全正确操作实验仪器并进行维护；</w:t>
            </w:r>
          </w:p>
          <w:p w14:paraId="2D502023">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能能按照SOP正确进行工作区域的清场、清洁和消毒等</w:t>
            </w:r>
          </w:p>
        </w:tc>
      </w:tr>
      <w:tr w14:paraId="5DBF0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9" w:hRule="atLeast"/>
          <w:jc w:val="center"/>
        </w:trPr>
        <w:tc>
          <w:tcPr>
            <w:tcW w:w="427" w:type="dxa"/>
            <w:vAlign w:val="center"/>
          </w:tcPr>
          <w:p w14:paraId="54C466B8">
            <w:pPr>
              <w:adjustRightInd w:val="0"/>
              <w:snapToGrid w:val="0"/>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p>
        </w:tc>
        <w:tc>
          <w:tcPr>
            <w:tcW w:w="846" w:type="dxa"/>
            <w:vAlign w:val="center"/>
          </w:tcPr>
          <w:p w14:paraId="69433AB2">
            <w:pPr>
              <w:adjustRightInd w:val="0"/>
              <w:snapToGrid w:val="0"/>
              <w:ind w:leftChars="-3" w:hanging="7" w:hangingChars="3"/>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工艺员</w:t>
            </w:r>
          </w:p>
        </w:tc>
        <w:tc>
          <w:tcPr>
            <w:tcW w:w="672" w:type="dxa"/>
            <w:vAlign w:val="center"/>
          </w:tcPr>
          <w:p w14:paraId="6C6B758E">
            <w:pPr>
              <w:adjustRightInd w:val="0"/>
              <w:snapToGrid w:val="0"/>
              <w:ind w:left="1" w:leftChars="-3" w:hanging="7" w:hangingChars="3"/>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p>
        </w:tc>
        <w:tc>
          <w:tcPr>
            <w:tcW w:w="700" w:type="dxa"/>
            <w:vAlign w:val="center"/>
          </w:tcPr>
          <w:p w14:paraId="7A1564BB">
            <w:pPr>
              <w:adjustRightInd w:val="0"/>
              <w:snapToGrid w:val="0"/>
              <w:ind w:left="1" w:leftChars="-3" w:hanging="7" w:hangingChars="3"/>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p>
        </w:tc>
        <w:tc>
          <w:tcPr>
            <w:tcW w:w="3524" w:type="dxa"/>
            <w:vAlign w:val="center"/>
          </w:tcPr>
          <w:p w14:paraId="1438E614">
            <w:pPr>
              <w:adjustRightInd w:val="0"/>
              <w:snapToGrid w:val="0"/>
              <w:ind w:hanging="6"/>
              <w:rPr>
                <w:rFonts w:hint="eastAsia" w:ascii="微软雅黑" w:hAnsi="微软雅黑" w:eastAsia="微软雅黑" w:cs="微软雅黑"/>
                <w:sz w:val="24"/>
                <w:szCs w:val="24"/>
              </w:rPr>
            </w:pPr>
            <w:r>
              <w:rPr>
                <w:rFonts w:hint="eastAsia" w:ascii="微软雅黑" w:hAnsi="微软雅黑" w:eastAsia="微软雅黑" w:cs="微软雅黑"/>
                <w:sz w:val="24"/>
                <w:szCs w:val="24"/>
              </w:rPr>
              <w:t>1．组织生产操作员学习标准操作规程等技术文件，严格按照个工艺规程和SOP进行工艺操作，保质保量完成生产任务；</w:t>
            </w:r>
          </w:p>
          <w:p w14:paraId="5D1C73C8">
            <w:pPr>
              <w:adjustRightInd w:val="0"/>
              <w:snapToGrid w:val="0"/>
              <w:ind w:hanging="6"/>
              <w:rPr>
                <w:rFonts w:hint="eastAsia" w:ascii="微软雅黑" w:hAnsi="微软雅黑" w:eastAsia="微软雅黑" w:cs="微软雅黑"/>
                <w:sz w:val="24"/>
                <w:szCs w:val="24"/>
              </w:rPr>
            </w:pPr>
            <w:r>
              <w:rPr>
                <w:rFonts w:hint="eastAsia" w:ascii="微软雅黑" w:hAnsi="微软雅黑" w:eastAsia="微软雅黑" w:cs="微软雅黑"/>
                <w:sz w:val="24"/>
                <w:szCs w:val="24"/>
              </w:rPr>
              <w:t>2．对工艺规程、标准操作规程和岗位操作法等技术标准文件的执行负责，监督检查技术标准文件的执行，停止并责令改正不执行文件的工艺操作；</w:t>
            </w:r>
          </w:p>
          <w:p w14:paraId="335BF3A5">
            <w:pPr>
              <w:adjustRightInd w:val="0"/>
              <w:snapToGrid w:val="0"/>
              <w:ind w:hanging="6"/>
              <w:rPr>
                <w:rFonts w:hint="eastAsia" w:ascii="微软雅黑" w:hAnsi="微软雅黑" w:eastAsia="微软雅黑" w:cs="微软雅黑"/>
                <w:sz w:val="24"/>
                <w:szCs w:val="24"/>
              </w:rPr>
            </w:pPr>
            <w:r>
              <w:rPr>
                <w:rFonts w:hint="eastAsia" w:ascii="微软雅黑" w:hAnsi="微软雅黑" w:eastAsia="微软雅黑" w:cs="微软雅黑"/>
                <w:sz w:val="24"/>
                <w:szCs w:val="24"/>
              </w:rPr>
              <w:t>3．负责检查生产记录、设备使用记录、设备维护记录和清洁记录等</w:t>
            </w:r>
          </w:p>
        </w:tc>
        <w:tc>
          <w:tcPr>
            <w:tcW w:w="3402" w:type="dxa"/>
            <w:vAlign w:val="center"/>
          </w:tcPr>
          <w:p w14:paraId="093672C1">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能按照GMP，结合实际编制SOP，并监督检查其执行情况；</w:t>
            </w:r>
          </w:p>
          <w:p w14:paraId="3C3B9102">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能组织工艺技术和GMP培训；</w:t>
            </w:r>
          </w:p>
          <w:p w14:paraId="544441ED">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能根据生产计划，合理组织生产，并监控生产质量。</w:t>
            </w:r>
          </w:p>
        </w:tc>
      </w:tr>
      <w:tr w14:paraId="78BFA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jc w:val="center"/>
        </w:trPr>
        <w:tc>
          <w:tcPr>
            <w:tcW w:w="427" w:type="dxa"/>
            <w:vAlign w:val="center"/>
          </w:tcPr>
          <w:p w14:paraId="4541A1EC">
            <w:pPr>
              <w:adjustRightInd w:val="0"/>
              <w:snapToGrid w:val="0"/>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p>
        </w:tc>
        <w:tc>
          <w:tcPr>
            <w:tcW w:w="846" w:type="dxa"/>
            <w:vAlign w:val="center"/>
          </w:tcPr>
          <w:p w14:paraId="3C7F4FF7">
            <w:pPr>
              <w:adjustRightInd w:val="0"/>
              <w:snapToGrid w:val="0"/>
              <w:ind w:leftChars="-3" w:hanging="7" w:hangingChars="3"/>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质量保证（QA）</w:t>
            </w:r>
          </w:p>
        </w:tc>
        <w:tc>
          <w:tcPr>
            <w:tcW w:w="672" w:type="dxa"/>
            <w:vAlign w:val="center"/>
          </w:tcPr>
          <w:p w14:paraId="14DC8E1F">
            <w:pPr>
              <w:adjustRightInd w:val="0"/>
              <w:snapToGrid w:val="0"/>
              <w:ind w:left="1" w:leftChars="-3" w:hanging="7" w:hangingChars="3"/>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p>
        </w:tc>
        <w:tc>
          <w:tcPr>
            <w:tcW w:w="700" w:type="dxa"/>
            <w:vAlign w:val="center"/>
          </w:tcPr>
          <w:p w14:paraId="2B0295A5">
            <w:pPr>
              <w:adjustRightInd w:val="0"/>
              <w:snapToGrid w:val="0"/>
              <w:ind w:left="1" w:leftChars="-3" w:hanging="7" w:hangingChars="3"/>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p>
        </w:tc>
        <w:tc>
          <w:tcPr>
            <w:tcW w:w="3524" w:type="dxa"/>
            <w:vAlign w:val="center"/>
          </w:tcPr>
          <w:p w14:paraId="31CEC296">
            <w:pPr>
              <w:adjustRightInd w:val="0"/>
              <w:snapToGrid w:val="0"/>
              <w:ind w:hanging="6"/>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1．对各部门进行日常检查和巡视，并对各部门执行GMP、SOP情况进行巡视检查，负责生产过程关键控制点的监控及物料管理的监控。</w:t>
            </w:r>
          </w:p>
          <w:p w14:paraId="28BC9FB3">
            <w:pPr>
              <w:adjustRightInd w:val="0"/>
              <w:snapToGrid w:val="0"/>
              <w:ind w:hanging="6"/>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2．负责产品质量方面的统计分析，妥善保存和积累质量资料和数据，对质量问题进行追踪分析，为改进工艺和监督管理提供信息。</w:t>
            </w:r>
          </w:p>
          <w:p w14:paraId="2F64588B">
            <w:pPr>
              <w:adjustRightInd w:val="0"/>
              <w:snapToGrid w:val="0"/>
              <w:ind w:hanging="6"/>
              <w:rPr>
                <w:rFonts w:hint="eastAsia" w:ascii="微软雅黑" w:hAnsi="微软雅黑" w:eastAsia="微软雅黑" w:cs="微软雅黑"/>
                <w:color w:val="000000"/>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color w:val="000000"/>
                <w:sz w:val="24"/>
                <w:szCs w:val="24"/>
              </w:rPr>
              <w:t>负责QC检验样品的取样工作。</w:t>
            </w:r>
          </w:p>
          <w:p w14:paraId="028E9CB2">
            <w:pPr>
              <w:adjustRightInd w:val="0"/>
              <w:snapToGrid w:val="0"/>
              <w:ind w:hanging="6"/>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4．负责洁净区日常环境监测工作。</w:t>
            </w:r>
          </w:p>
        </w:tc>
        <w:tc>
          <w:tcPr>
            <w:tcW w:w="3402" w:type="dxa"/>
            <w:vAlign w:val="center"/>
          </w:tcPr>
          <w:p w14:paraId="5D13DCD2">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能按照GMP要求，对生产过程关键控制点和物料管理进行监控；</w:t>
            </w:r>
          </w:p>
          <w:p w14:paraId="279DA5FB">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能按照SOP正确进行样品取样、洁净区日常环境检测和产品质量统计分析；</w:t>
            </w:r>
          </w:p>
          <w:p w14:paraId="18420CA6">
            <w:pPr>
              <w:adjustRightInd w:val="0"/>
              <w:snapToGrid w:val="0"/>
              <w:ind w:left="1" w:leftChars="-3" w:hanging="7" w:hangingChars="3"/>
              <w:rPr>
                <w:rFonts w:hint="eastAsia" w:ascii="微软雅黑" w:hAnsi="微软雅黑" w:eastAsia="微软雅黑" w:cs="微软雅黑"/>
                <w:sz w:val="24"/>
                <w:szCs w:val="24"/>
              </w:rPr>
            </w:pPr>
            <w:r>
              <w:rPr>
                <w:rFonts w:hint="eastAsia" w:ascii="微软雅黑" w:hAnsi="微软雅黑" w:eastAsia="微软雅黑" w:cs="微软雅黑"/>
                <w:sz w:val="24"/>
                <w:szCs w:val="24"/>
              </w:rPr>
              <w:t>能监督检查质量管理文件的执行。</w:t>
            </w:r>
          </w:p>
        </w:tc>
      </w:tr>
    </w:tbl>
    <w:p w14:paraId="7BC0529E">
      <w:pPr>
        <w:spacing w:line="360" w:lineRule="auto"/>
        <w:ind w:firstLine="482" w:firstLineChars="200"/>
        <w:rPr>
          <w:rFonts w:ascii="Times New Roman" w:hAnsi="Times New Roman"/>
          <w:b/>
          <w:bCs/>
          <w:sz w:val="24"/>
        </w:rPr>
      </w:pPr>
    </w:p>
    <w:p w14:paraId="5B43006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6.岗位典型工作任务及其工作过程分析（表4）</w:t>
      </w:r>
    </w:p>
    <w:p w14:paraId="2E0C31DC">
      <w:pPr>
        <w:jc w:val="center"/>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表4</w:t>
      </w:r>
      <w:r>
        <w:rPr>
          <w:rFonts w:hint="eastAsia" w:ascii="微软雅黑" w:hAnsi="微软雅黑" w:eastAsia="微软雅黑" w:cs="微软雅黑"/>
          <w:b w:val="0"/>
          <w:bCs/>
          <w:sz w:val="24"/>
          <w:szCs w:val="24"/>
          <w:lang w:val="en-US" w:eastAsia="zh-CN"/>
        </w:rPr>
        <w:t xml:space="preserve"> </w:t>
      </w:r>
      <w:r>
        <w:rPr>
          <w:rFonts w:hint="eastAsia" w:ascii="微软雅黑" w:hAnsi="微软雅黑" w:eastAsia="微软雅黑" w:cs="微软雅黑"/>
          <w:b w:val="0"/>
          <w:bCs/>
          <w:sz w:val="24"/>
          <w:szCs w:val="24"/>
        </w:rPr>
        <w:t>典型工作任务及工作过程分析表</w:t>
      </w:r>
    </w:p>
    <w:tbl>
      <w:tblPr>
        <w:tblStyle w:val="6"/>
        <w:tblW w:w="94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4565"/>
        <w:gridCol w:w="4075"/>
      </w:tblGrid>
      <w:tr w14:paraId="6A5FF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822" w:type="dxa"/>
            <w:vAlign w:val="center"/>
          </w:tcPr>
          <w:p w14:paraId="0AE27F8E">
            <w:pPr>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序号</w:t>
            </w:r>
          </w:p>
        </w:tc>
        <w:tc>
          <w:tcPr>
            <w:tcW w:w="4565" w:type="dxa"/>
            <w:vAlign w:val="center"/>
          </w:tcPr>
          <w:p w14:paraId="495AD9A4">
            <w:pPr>
              <w:jc w:val="center"/>
              <w:rPr>
                <w:rFonts w:hint="eastAsia" w:ascii="微软雅黑" w:hAnsi="微软雅黑" w:eastAsia="微软雅黑" w:cs="微软雅黑"/>
                <w:b/>
                <w:bCs w:val="0"/>
                <w:sz w:val="24"/>
                <w:szCs w:val="24"/>
              </w:rPr>
            </w:pPr>
            <w:r>
              <w:rPr>
                <w:rFonts w:hint="eastAsia" w:ascii="微软雅黑" w:hAnsi="微软雅黑" w:eastAsia="微软雅黑" w:cs="微软雅黑"/>
                <w:b/>
                <w:bCs w:val="0"/>
                <w:sz w:val="24"/>
                <w:szCs w:val="24"/>
              </w:rPr>
              <w:t>典型工作任务</w:t>
            </w:r>
          </w:p>
        </w:tc>
        <w:tc>
          <w:tcPr>
            <w:tcW w:w="4075" w:type="dxa"/>
            <w:vAlign w:val="center"/>
          </w:tcPr>
          <w:p w14:paraId="10994F1D">
            <w:pPr>
              <w:jc w:val="center"/>
              <w:rPr>
                <w:rFonts w:hint="eastAsia" w:ascii="微软雅黑" w:hAnsi="微软雅黑" w:eastAsia="微软雅黑" w:cs="微软雅黑"/>
                <w:b/>
                <w:bCs w:val="0"/>
                <w:sz w:val="24"/>
                <w:szCs w:val="24"/>
              </w:rPr>
            </w:pPr>
            <w:r>
              <w:rPr>
                <w:rFonts w:hint="eastAsia" w:ascii="微软雅黑" w:hAnsi="微软雅黑" w:eastAsia="微软雅黑" w:cs="微软雅黑"/>
                <w:b/>
                <w:bCs w:val="0"/>
                <w:sz w:val="24"/>
                <w:szCs w:val="24"/>
              </w:rPr>
              <w:t>工作过程</w:t>
            </w:r>
          </w:p>
        </w:tc>
      </w:tr>
      <w:tr w14:paraId="09A0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9" w:hRule="atLeast"/>
          <w:jc w:val="center"/>
        </w:trPr>
        <w:tc>
          <w:tcPr>
            <w:tcW w:w="822" w:type="dxa"/>
            <w:tcBorders>
              <w:bottom w:val="single" w:color="auto" w:sz="4" w:space="0"/>
            </w:tcBorders>
            <w:vAlign w:val="center"/>
          </w:tcPr>
          <w:p w14:paraId="5818620A">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p>
        </w:tc>
        <w:tc>
          <w:tcPr>
            <w:tcW w:w="4565" w:type="dxa"/>
            <w:tcBorders>
              <w:bottom w:val="single" w:color="auto" w:sz="4" w:space="0"/>
            </w:tcBorders>
            <w:vAlign w:val="center"/>
          </w:tcPr>
          <w:p w14:paraId="0C91E71B">
            <w:pPr>
              <w:adjustRightInd w:val="0"/>
              <w:snapToGrid w:val="0"/>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工艺操作：</w:t>
            </w:r>
            <w:r>
              <w:rPr>
                <w:rFonts w:hint="eastAsia" w:ascii="微软雅黑" w:hAnsi="微软雅黑" w:eastAsia="微软雅黑" w:cs="微软雅黑"/>
                <w:sz w:val="24"/>
                <w:szCs w:val="24"/>
              </w:rPr>
              <w:t>根据生产指令，按照工艺流程，严格按照标准操作规程在规定时间内完成在岗操作和质量监控，作业时标准规范，对已完成的过程和产生的结果进行记录。</w:t>
            </w:r>
          </w:p>
        </w:tc>
        <w:tc>
          <w:tcPr>
            <w:tcW w:w="4075" w:type="dxa"/>
            <w:tcBorders>
              <w:bottom w:val="single" w:color="auto" w:sz="4" w:space="0"/>
            </w:tcBorders>
            <w:vAlign w:val="center"/>
          </w:tcPr>
          <w:p w14:paraId="26638339">
            <w:pPr>
              <w:adjustRightInd w:val="0"/>
              <w:snapToGrid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接受生产任务，检查生产区域清场情况，清洁设备，领取和处理生产物料，按照标准操作规程运行设备并进行在岗作业和质量监控，规范记录生产操作过程和结果。</w:t>
            </w:r>
          </w:p>
        </w:tc>
      </w:tr>
      <w:tr w14:paraId="0617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2" w:hRule="atLeast"/>
          <w:jc w:val="center"/>
        </w:trPr>
        <w:tc>
          <w:tcPr>
            <w:tcW w:w="822" w:type="dxa"/>
            <w:tcBorders>
              <w:bottom w:val="single" w:color="auto" w:sz="4" w:space="0"/>
            </w:tcBorders>
            <w:vAlign w:val="center"/>
          </w:tcPr>
          <w:p w14:paraId="264505B5">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p>
        </w:tc>
        <w:tc>
          <w:tcPr>
            <w:tcW w:w="4565" w:type="dxa"/>
            <w:tcBorders>
              <w:bottom w:val="single" w:color="auto" w:sz="4" w:space="0"/>
            </w:tcBorders>
            <w:vAlign w:val="center"/>
          </w:tcPr>
          <w:p w14:paraId="1907079F">
            <w:pPr>
              <w:adjustRightInd w:val="0"/>
              <w:snapToGrid w:val="0"/>
              <w:rPr>
                <w:rFonts w:hint="eastAsia" w:ascii="微软雅黑" w:hAnsi="微软雅黑" w:eastAsia="微软雅黑" w:cs="微软雅黑"/>
                <w:b/>
                <w:bCs/>
                <w:sz w:val="24"/>
                <w:szCs w:val="24"/>
              </w:rPr>
            </w:pPr>
            <w:r>
              <w:rPr>
                <w:rFonts w:hint="eastAsia" w:ascii="微软雅黑" w:hAnsi="微软雅黑" w:eastAsia="微软雅黑" w:cs="微软雅黑"/>
                <w:b/>
                <w:sz w:val="24"/>
                <w:szCs w:val="24"/>
              </w:rPr>
              <w:t>实验操作：</w:t>
            </w:r>
            <w:r>
              <w:rPr>
                <w:rFonts w:hint="eastAsia" w:ascii="微软雅黑" w:hAnsi="微软雅黑" w:eastAsia="微软雅黑" w:cs="微软雅黑"/>
                <w:sz w:val="24"/>
                <w:szCs w:val="24"/>
              </w:rPr>
              <w:t>按照实验方案和SOP，在规定的时间内完成实验操作，对实验过程和结果进行记录并反馈。</w:t>
            </w:r>
          </w:p>
        </w:tc>
        <w:tc>
          <w:tcPr>
            <w:tcW w:w="4075" w:type="dxa"/>
            <w:tcBorders>
              <w:bottom w:val="single" w:color="auto" w:sz="4" w:space="0"/>
            </w:tcBorders>
            <w:vAlign w:val="center"/>
          </w:tcPr>
          <w:p w14:paraId="6EF552B9">
            <w:pPr>
              <w:adjustRightInd w:val="0"/>
              <w:snapToGrid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接受实验任务和实验方案，准备试剂和仪器设备，按照SOP运行仪器设备进行实验，规范记录实验过程和结果，及时反馈有关负责人</w:t>
            </w:r>
          </w:p>
        </w:tc>
      </w:tr>
      <w:tr w14:paraId="19EF7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6" w:hRule="atLeast"/>
          <w:jc w:val="center"/>
        </w:trPr>
        <w:tc>
          <w:tcPr>
            <w:tcW w:w="822" w:type="dxa"/>
            <w:vAlign w:val="center"/>
          </w:tcPr>
          <w:p w14:paraId="0D23BC1D">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p>
        </w:tc>
        <w:tc>
          <w:tcPr>
            <w:tcW w:w="4565" w:type="dxa"/>
            <w:vAlign w:val="center"/>
          </w:tcPr>
          <w:p w14:paraId="3E89218E">
            <w:pPr>
              <w:adjustRightInd w:val="0"/>
              <w:snapToGrid w:val="0"/>
              <w:rPr>
                <w:rFonts w:hint="eastAsia" w:ascii="微软雅黑" w:hAnsi="微软雅黑" w:eastAsia="微软雅黑" w:cs="微软雅黑"/>
                <w:bCs/>
                <w:sz w:val="24"/>
                <w:szCs w:val="24"/>
              </w:rPr>
            </w:pPr>
            <w:r>
              <w:rPr>
                <w:rFonts w:hint="eastAsia" w:ascii="微软雅黑" w:hAnsi="微软雅黑" w:eastAsia="微软雅黑" w:cs="微软雅黑"/>
                <w:b/>
                <w:sz w:val="24"/>
                <w:szCs w:val="24"/>
              </w:rPr>
              <w:t>分析检测：</w:t>
            </w:r>
            <w:r>
              <w:rPr>
                <w:rFonts w:hint="eastAsia" w:ascii="微软雅黑" w:hAnsi="微软雅黑" w:eastAsia="微软雅黑" w:cs="微软雅黑"/>
                <w:sz w:val="24"/>
                <w:szCs w:val="24"/>
              </w:rPr>
              <w:t>严格按照标准操作规程在规定时间内完成取样和各项质量指标的检测分析工作，作业时标准规范，对已完成的检测过程和产生的分析结果进行记录并反馈。</w:t>
            </w:r>
          </w:p>
        </w:tc>
        <w:tc>
          <w:tcPr>
            <w:tcW w:w="4075" w:type="dxa"/>
            <w:vAlign w:val="center"/>
          </w:tcPr>
          <w:p w14:paraId="4102A7FF">
            <w:pPr>
              <w:adjustRightInd w:val="0"/>
              <w:snapToGrid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接受分析检测任务和样品，确定检测方法，准备试剂和仪器设备，按照标准操作规程进行分析检测实验，规范填写检测记录和检测报告并上交QA。</w:t>
            </w:r>
          </w:p>
        </w:tc>
      </w:tr>
      <w:tr w14:paraId="554BB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3" w:hRule="atLeast"/>
          <w:jc w:val="center"/>
        </w:trPr>
        <w:tc>
          <w:tcPr>
            <w:tcW w:w="822" w:type="dxa"/>
            <w:vAlign w:val="center"/>
          </w:tcPr>
          <w:p w14:paraId="6E82052C">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p>
        </w:tc>
        <w:tc>
          <w:tcPr>
            <w:tcW w:w="4565" w:type="dxa"/>
            <w:vAlign w:val="center"/>
          </w:tcPr>
          <w:p w14:paraId="3650CC37">
            <w:pPr>
              <w:adjustRightInd w:val="0"/>
              <w:snapToGrid w:val="0"/>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仪器设备运行维护：</w:t>
            </w:r>
            <w:r>
              <w:rPr>
                <w:rFonts w:hint="eastAsia" w:ascii="微软雅黑" w:hAnsi="微软雅黑" w:eastAsia="微软雅黑" w:cs="微软雅黑"/>
                <w:bCs/>
                <w:sz w:val="24"/>
                <w:szCs w:val="24"/>
              </w:rPr>
              <w:t>生产、实验和分析检测过程中，严格按照标准操作规程对仪器设备进行检查、运行、清洁和维护等工作并做好记录。</w:t>
            </w:r>
          </w:p>
        </w:tc>
        <w:tc>
          <w:tcPr>
            <w:tcW w:w="4075" w:type="dxa"/>
            <w:vAlign w:val="center"/>
          </w:tcPr>
          <w:p w14:paraId="41FDD8A9">
            <w:pPr>
              <w:adjustRightInd w:val="0"/>
              <w:snapToGrid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检查设备，按照SOP运行仪器设备，生产、实验和分析检测结束后按照SOP进行仪器设施设备的清洁、维护等工作，规范记录仪器设备运行、清洁和维护情况。</w:t>
            </w:r>
          </w:p>
        </w:tc>
      </w:tr>
      <w:tr w14:paraId="2061E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5" w:hRule="atLeast"/>
          <w:jc w:val="center"/>
        </w:trPr>
        <w:tc>
          <w:tcPr>
            <w:tcW w:w="822" w:type="dxa"/>
            <w:vAlign w:val="center"/>
          </w:tcPr>
          <w:p w14:paraId="048311E5">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p>
        </w:tc>
        <w:tc>
          <w:tcPr>
            <w:tcW w:w="4565" w:type="dxa"/>
            <w:vAlign w:val="center"/>
          </w:tcPr>
          <w:p w14:paraId="6315172D">
            <w:pPr>
              <w:adjustRightInd w:val="0"/>
              <w:snapToGrid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工艺技术管理：</w:t>
            </w:r>
            <w:r>
              <w:rPr>
                <w:rFonts w:hint="eastAsia" w:ascii="微软雅黑" w:hAnsi="微软雅黑" w:eastAsia="微软雅黑" w:cs="微软雅黑"/>
                <w:sz w:val="24"/>
                <w:szCs w:val="24"/>
              </w:rPr>
              <w:t>在班组内组织学习规章制度和标准文件，组织安排生产或实验，监督检查生产或实验过程中工艺的落实和标准的执行情况。</w:t>
            </w:r>
          </w:p>
        </w:tc>
        <w:tc>
          <w:tcPr>
            <w:tcW w:w="4075" w:type="dxa"/>
            <w:vAlign w:val="center"/>
          </w:tcPr>
          <w:p w14:paraId="3532078E">
            <w:pPr>
              <w:adjustRightInd w:val="0"/>
              <w:snapToGrid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组建班组，组织学习技术文件，组织培训岗位操作技能，制定生产计划，安排生产任务，进行生产过程中的工艺管理和质量监控。</w:t>
            </w:r>
          </w:p>
        </w:tc>
      </w:tr>
      <w:tr w14:paraId="13BC4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5" w:hRule="atLeast"/>
          <w:jc w:val="center"/>
        </w:trPr>
        <w:tc>
          <w:tcPr>
            <w:tcW w:w="822" w:type="dxa"/>
            <w:vAlign w:val="center"/>
          </w:tcPr>
          <w:p w14:paraId="1FCF2672">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p>
        </w:tc>
        <w:tc>
          <w:tcPr>
            <w:tcW w:w="4565" w:type="dxa"/>
            <w:vAlign w:val="center"/>
          </w:tcPr>
          <w:p w14:paraId="1F5C884D">
            <w:pPr>
              <w:adjustRightInd w:val="0"/>
              <w:snapToGrid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质量监控：</w:t>
            </w:r>
            <w:r>
              <w:rPr>
                <w:rFonts w:hint="eastAsia" w:ascii="微软雅黑" w:hAnsi="微软雅黑" w:eastAsia="微软雅黑" w:cs="微软雅黑"/>
                <w:sz w:val="24"/>
                <w:szCs w:val="24"/>
              </w:rPr>
              <w:t>监控生产、实验和分析检测过程关键控制点、物料管理，监督检查生产质量管理文件的执行。</w:t>
            </w:r>
          </w:p>
        </w:tc>
        <w:tc>
          <w:tcPr>
            <w:tcW w:w="4075" w:type="dxa"/>
            <w:vAlign w:val="center"/>
          </w:tcPr>
          <w:p w14:paraId="0DEBFF20">
            <w:pPr>
              <w:adjustRightInd w:val="0"/>
              <w:snapToGrid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按照GMP要求，学习企业质量管理文件，监控生产、实验和分析检测过程，监控物料管理，检查生产质量管理文件的执行，记录监控和检查情况，整理和归档质量管理文件。</w:t>
            </w:r>
          </w:p>
        </w:tc>
      </w:tr>
    </w:tbl>
    <w:p w14:paraId="34E0BEF5">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7.专业能力与理论知识需求分析</w:t>
      </w:r>
    </w:p>
    <w:p w14:paraId="3BE91511">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调研企业普遍认为专业学生应具有生产单元操作能力、过程控制能力、专业知识和技术分析能力、解决实际问题的能力、仪器设备运用能力、生产组织和管理规范能力等；理论知识学习方面，调研企业认为应该掌握化学、生物化学和微生物等基础知识以及生产过程原理及设备、药物合成技术、药物中试技术、发酵技术、分离纯化技术、药物制剂技术等专业技术，还需学习药品分析检测技术、GMP以及安全、环保和法律等方面的知识。</w:t>
      </w:r>
    </w:p>
    <w:p w14:paraId="630146C4">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8.学生能力及素质要求分析</w:t>
      </w:r>
    </w:p>
    <w:p w14:paraId="5DE2154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color w:val="000000"/>
          <w:kern w:val="0"/>
          <w:sz w:val="24"/>
          <w:szCs w:val="24"/>
        </w:rPr>
      </w:pPr>
      <w:r>
        <w:rPr>
          <w:rFonts w:hint="eastAsia" w:ascii="方正仿宋_GBK" w:hAnsi="方正仿宋_GBK" w:eastAsia="方正仿宋_GBK" w:cs="方正仿宋_GBK"/>
          <w:color w:val="auto"/>
          <w:sz w:val="32"/>
          <w:szCs w:val="32"/>
          <w:lang w:val="en-US" w:eastAsia="zh-CN"/>
        </w:rPr>
        <w:t>由于各企业经营方向不同，学生就业岗位不同，而学生能力及素质的侧重点也有所不同，如从事生产、检验岗位的对专业知识、操作技能要求较高，从事研发和质量管理的，对沟通交流能力、组织管理能力要求较高。但共同的特点是，企业普遍要求学生具有安全、环保、质量和法律意识，希望学生的自主学习能力、分析和解决问题的能力、职业规划能力、对工作的认真负责态度、对企业的忠诚度等能够进一步提高，也希望能提高学生的生命意识、健康意识和责任意识。</w:t>
      </w:r>
    </w:p>
    <w:p w14:paraId="2E9B1436">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9.企业对毕业生的评价反馈</w:t>
      </w:r>
    </w:p>
    <w:p w14:paraId="67B616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评价主要从职业道德、专业知识、专业技能、敬业精神、团队精神、知识更新能力、计算机应用水平、外语水平、适应能力、组织能力、工作稳定度等方面进行。从整体上来看，用人单位对本专业毕业生满意度达93%，认为毕业生动手能力较强，能很快适应岗位要求，专业知识和技能基本能满足企业岗位要求，学生药物合成、基因工程技术和细胞工程技术水平领先于省内其他院校的学生，但也有一些企业表示毕业生的专业基础知识不够扎实，知识更新能力、外语水平和工作稳定度还有待于进一步加强。</w:t>
      </w:r>
    </w:p>
    <w:p w14:paraId="07C488DA">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10.同行院校专业建设和人才培养方面的分析</w:t>
      </w:r>
    </w:p>
    <w:p w14:paraId="35E1BD1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目前全国约有100所高职院校开设了药品生产技术专业，其中有5个国家示范（骨干）校重点建设专业，分别是湖北武汉职业技术学院、广东中山火炬职业技术学院、河北化工医药职业技术学院、福建泉州医学高等专科学校和贵州铜仁职业技术学院。</w:t>
      </w:r>
    </w:p>
    <w:p w14:paraId="6964292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除我校外，江苏省内还有南京科技职业学院、江苏食品药品职业技术学院和江苏农牧科技职业学院等18所高职院校开设有药品生产技术专业。近3年，19所院校药品生产技术专业每年招生数量在2000人左右，新生报到率保持在85%以上，学生就业岗位大多数是制药企业的生产操作、质检、销售等岗位。</w:t>
      </w:r>
    </w:p>
    <w:p w14:paraId="7C50311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另，调研院校专业都于2016年将原来的化学制药技术、生物制药技术、药物制剂技术专业更名为药品生产技术专业，2017年教育部增设专业后，调研院校基本恢复为原来的专业，不再保留药品生产技术专业或为了招生需要保留药品生产技术专业但其课程只涉及某一方向。因此，保留药品生产技术专业且涉及三个方向的仅有我校一家。</w:t>
      </w:r>
    </w:p>
    <w:p w14:paraId="307F27A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近几年来各院校都围绕教育教学改革、教师发展、教学条件、科研与社会服务和对外交流与合作等方面加强建设，提升人才培养质量和专业水平。我校在招生规模、师资力量、人才培养质量与国家示范（骨干校）重点专业相当，但在校企合作、科研和社会服务方面有明显差距。</w:t>
      </w:r>
    </w:p>
    <w:p w14:paraId="452AC0F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三、人才培养和专业建设的意见与建议</w:t>
      </w:r>
    </w:p>
    <w:p w14:paraId="7ED3E14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1.因医药产品种类繁多，生产流程复杂，涉及技术复杂多样且要求高，调研企业建议专业实施分方向教学，最好设置化学制药、生物制药和药物制剂三个专业。</w:t>
      </w:r>
    </w:p>
    <w:p w14:paraId="0974956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2.人才培养目标方面，在强化专业知识和操作能力的基础上，重点培养学生的职业道德和职业素养，提高学生的安全意识、责任意识、环保意识和法律意识等，提升学生的开拓意识和创新精神，为专业课程思政奠定了基础和明确了方向。</w:t>
      </w:r>
    </w:p>
    <w:p w14:paraId="7BDFBE9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3.课程体系方面，就化学、生物化学、微生物、药事法规和GMP等方面可考虑设置专业基础课程；专业课程可就三个方向围绕生产操作、设备运行、质量控制、技术管理等方面开设相应的技术；就新管理、新技术、新产品、新服务等方面可设置相应的选修课程。</w:t>
      </w:r>
    </w:p>
    <w:p w14:paraId="0321C1A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4.为了适应技术发展需要，企业普遍希望教学内容适时更新调整；在技能培养方面，企业希望在强化规范性和标准化的同时，适时传授新技术、新方法。</w:t>
      </w:r>
    </w:p>
    <w:p w14:paraId="5CB21FB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5.企业普遍欢迎与学校加强人才培养和专业建设方面的合作。</w:t>
      </w:r>
    </w:p>
    <w:p w14:paraId="4A1EFBA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6.兄弟院校都建议恢复原来的化学制药技术专业、生物制药技术专业和药物制剂技术专业，有利于错位竞争和集群发展。</w:t>
      </w:r>
    </w:p>
    <w:p w14:paraId="4ED37DC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（调研组成员：×××，×××，×××，×××，×××，×××，×××，×××，×××，×××，）</w:t>
      </w:r>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9D97EAAB-2545-477A-ACEA-4664A0F2899A}"/>
  </w:font>
  <w:font w:name="方正黑体_GBK">
    <w:altName w:val="微软雅黑"/>
    <w:panose1 w:val="00000000000000000000"/>
    <w:charset w:val="00"/>
    <w:family w:val="auto"/>
    <w:pitch w:val="default"/>
    <w:sig w:usb0="00000000" w:usb1="00000000" w:usb2="00000000" w:usb3="00000000" w:csb0="00000000" w:csb1="00000000"/>
    <w:embedRegular r:id="rId2" w:fontKey="{66798631-BDF4-4171-BC00-B815F1825DB2}"/>
  </w:font>
  <w:font w:name="微软雅黑">
    <w:panose1 w:val="020B0503020204020204"/>
    <w:charset w:val="86"/>
    <w:family w:val="auto"/>
    <w:pitch w:val="default"/>
    <w:sig w:usb0="80000287" w:usb1="2ACF3C50" w:usb2="00000016" w:usb3="00000000" w:csb0="0004001F" w:csb1="00000000"/>
    <w:embedRegular r:id="rId3" w:fontKey="{831DCD3A-F7BB-4E05-AC63-7538BA755DE0}"/>
  </w:font>
  <w:font w:name="方正仿宋_GBK">
    <w:panose1 w:val="02000000000000000000"/>
    <w:charset w:val="86"/>
    <w:family w:val="auto"/>
    <w:pitch w:val="default"/>
    <w:sig w:usb0="A00002BF" w:usb1="38CF7CFA" w:usb2="00082016" w:usb3="00000000" w:csb0="00040001" w:csb1="00000000"/>
    <w:embedRegular r:id="rId4" w:fontKey="{D1593FFA-92BA-48F5-9796-1F49E6AB49E3}"/>
  </w:font>
  <w:font w:name="方正楷体_GBK">
    <w:panose1 w:val="02000000000000000000"/>
    <w:charset w:val="86"/>
    <w:family w:val="auto"/>
    <w:pitch w:val="default"/>
    <w:sig w:usb0="800002BF" w:usb1="38CF7CFA" w:usb2="00000016" w:usb3="00000000" w:csb0="00040000" w:csb1="00000000"/>
    <w:embedRegular r:id="rId5" w:fontKey="{5E605A1E-62D0-4B09-8D02-5E82A2D3590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C0131">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v:imagedata o:title=""/>
          <o:lock v:ext="edit" aspectratio="f"/>
          <v:textbox inset="0mm,0mm,0mm,0mm" style="mso-fit-shape-to-text:t;">
            <w:txbxContent>
              <w:p w14:paraId="2392D192">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DA412">
    <w:pPr>
      <w:pStyle w:val="4"/>
      <w:jc w:val="righ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******专业调研报告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TrueTypeFonts/>
  <w:saveSubset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132"/>
    <w:rsid w:val="000107E5"/>
    <w:rsid w:val="00013972"/>
    <w:rsid w:val="00013F93"/>
    <w:rsid w:val="000143DA"/>
    <w:rsid w:val="00017060"/>
    <w:rsid w:val="00017813"/>
    <w:rsid w:val="0002135B"/>
    <w:rsid w:val="000221A3"/>
    <w:rsid w:val="00024522"/>
    <w:rsid w:val="00024CF2"/>
    <w:rsid w:val="000260B3"/>
    <w:rsid w:val="00032672"/>
    <w:rsid w:val="00032937"/>
    <w:rsid w:val="00033ED2"/>
    <w:rsid w:val="0003654E"/>
    <w:rsid w:val="00037496"/>
    <w:rsid w:val="00041250"/>
    <w:rsid w:val="00041530"/>
    <w:rsid w:val="00041FE9"/>
    <w:rsid w:val="000449E9"/>
    <w:rsid w:val="00047BBF"/>
    <w:rsid w:val="00051427"/>
    <w:rsid w:val="00052DB4"/>
    <w:rsid w:val="00055B02"/>
    <w:rsid w:val="00060416"/>
    <w:rsid w:val="00074798"/>
    <w:rsid w:val="00074BC0"/>
    <w:rsid w:val="00077728"/>
    <w:rsid w:val="000800C0"/>
    <w:rsid w:val="00092B9E"/>
    <w:rsid w:val="00093B49"/>
    <w:rsid w:val="000962BD"/>
    <w:rsid w:val="00097800"/>
    <w:rsid w:val="000B277A"/>
    <w:rsid w:val="000B4E60"/>
    <w:rsid w:val="000C0829"/>
    <w:rsid w:val="000D0939"/>
    <w:rsid w:val="000D5D65"/>
    <w:rsid w:val="000D6D0D"/>
    <w:rsid w:val="000D7544"/>
    <w:rsid w:val="000D7985"/>
    <w:rsid w:val="000E00C1"/>
    <w:rsid w:val="000E2E89"/>
    <w:rsid w:val="000E30DD"/>
    <w:rsid w:val="000E3251"/>
    <w:rsid w:val="000E4231"/>
    <w:rsid w:val="000F4C38"/>
    <w:rsid w:val="000F717A"/>
    <w:rsid w:val="000F7EBF"/>
    <w:rsid w:val="00112635"/>
    <w:rsid w:val="00113B2D"/>
    <w:rsid w:val="00115AEF"/>
    <w:rsid w:val="001204E4"/>
    <w:rsid w:val="0012372A"/>
    <w:rsid w:val="001340C2"/>
    <w:rsid w:val="00144104"/>
    <w:rsid w:val="00145F34"/>
    <w:rsid w:val="0015673A"/>
    <w:rsid w:val="00156BBE"/>
    <w:rsid w:val="001606F9"/>
    <w:rsid w:val="00161B81"/>
    <w:rsid w:val="00171DAA"/>
    <w:rsid w:val="001726FF"/>
    <w:rsid w:val="00172A27"/>
    <w:rsid w:val="0017313F"/>
    <w:rsid w:val="00182518"/>
    <w:rsid w:val="00183940"/>
    <w:rsid w:val="00183EBE"/>
    <w:rsid w:val="00187B5B"/>
    <w:rsid w:val="00190F16"/>
    <w:rsid w:val="001966EC"/>
    <w:rsid w:val="00197CC7"/>
    <w:rsid w:val="001B00DC"/>
    <w:rsid w:val="001B0C2A"/>
    <w:rsid w:val="001B20BF"/>
    <w:rsid w:val="001C00CA"/>
    <w:rsid w:val="001C1760"/>
    <w:rsid w:val="001C274E"/>
    <w:rsid w:val="001C4D21"/>
    <w:rsid w:val="001C5C97"/>
    <w:rsid w:val="001E0612"/>
    <w:rsid w:val="001E27E2"/>
    <w:rsid w:val="001F21F9"/>
    <w:rsid w:val="001F2780"/>
    <w:rsid w:val="0020014F"/>
    <w:rsid w:val="002022E7"/>
    <w:rsid w:val="002026BD"/>
    <w:rsid w:val="0020380B"/>
    <w:rsid w:val="00204C90"/>
    <w:rsid w:val="00206856"/>
    <w:rsid w:val="002101A9"/>
    <w:rsid w:val="002110C2"/>
    <w:rsid w:val="00215228"/>
    <w:rsid w:val="0022026D"/>
    <w:rsid w:val="00232864"/>
    <w:rsid w:val="002405EB"/>
    <w:rsid w:val="0024132A"/>
    <w:rsid w:val="00246FD8"/>
    <w:rsid w:val="0026180C"/>
    <w:rsid w:val="00264A97"/>
    <w:rsid w:val="00274097"/>
    <w:rsid w:val="00274789"/>
    <w:rsid w:val="00274D6B"/>
    <w:rsid w:val="00276D78"/>
    <w:rsid w:val="00295556"/>
    <w:rsid w:val="00296BD3"/>
    <w:rsid w:val="002975E8"/>
    <w:rsid w:val="00297A90"/>
    <w:rsid w:val="002A373C"/>
    <w:rsid w:val="002A3B7F"/>
    <w:rsid w:val="002A456C"/>
    <w:rsid w:val="002A64D1"/>
    <w:rsid w:val="002B30A9"/>
    <w:rsid w:val="002B57D6"/>
    <w:rsid w:val="002B642B"/>
    <w:rsid w:val="002D02D3"/>
    <w:rsid w:val="002D381A"/>
    <w:rsid w:val="002D5DB4"/>
    <w:rsid w:val="002E5F1C"/>
    <w:rsid w:val="002F3192"/>
    <w:rsid w:val="002F351C"/>
    <w:rsid w:val="002F4853"/>
    <w:rsid w:val="00303332"/>
    <w:rsid w:val="00304A2A"/>
    <w:rsid w:val="00310A35"/>
    <w:rsid w:val="00332F99"/>
    <w:rsid w:val="00336E02"/>
    <w:rsid w:val="00340CB3"/>
    <w:rsid w:val="003418C5"/>
    <w:rsid w:val="003441FE"/>
    <w:rsid w:val="003471C5"/>
    <w:rsid w:val="003507B1"/>
    <w:rsid w:val="00350EF1"/>
    <w:rsid w:val="0035703C"/>
    <w:rsid w:val="00363009"/>
    <w:rsid w:val="00365F17"/>
    <w:rsid w:val="00367D63"/>
    <w:rsid w:val="003717BF"/>
    <w:rsid w:val="0037215C"/>
    <w:rsid w:val="003728A8"/>
    <w:rsid w:val="00372D51"/>
    <w:rsid w:val="0037450D"/>
    <w:rsid w:val="00376C6A"/>
    <w:rsid w:val="0038679E"/>
    <w:rsid w:val="00391366"/>
    <w:rsid w:val="003A3A57"/>
    <w:rsid w:val="003A62EC"/>
    <w:rsid w:val="003C1A9B"/>
    <w:rsid w:val="003C297A"/>
    <w:rsid w:val="003C2E27"/>
    <w:rsid w:val="003C7326"/>
    <w:rsid w:val="003D6AC9"/>
    <w:rsid w:val="003E13CC"/>
    <w:rsid w:val="003E35FE"/>
    <w:rsid w:val="003F53FE"/>
    <w:rsid w:val="00406F3E"/>
    <w:rsid w:val="00407047"/>
    <w:rsid w:val="004178ED"/>
    <w:rsid w:val="0042367F"/>
    <w:rsid w:val="00426352"/>
    <w:rsid w:val="00431135"/>
    <w:rsid w:val="00435485"/>
    <w:rsid w:val="00437A95"/>
    <w:rsid w:val="004404AA"/>
    <w:rsid w:val="00444EB6"/>
    <w:rsid w:val="004450A1"/>
    <w:rsid w:val="00462EA7"/>
    <w:rsid w:val="00464F0F"/>
    <w:rsid w:val="00476DAE"/>
    <w:rsid w:val="00477E48"/>
    <w:rsid w:val="004818AD"/>
    <w:rsid w:val="00487213"/>
    <w:rsid w:val="0049648C"/>
    <w:rsid w:val="004A18D1"/>
    <w:rsid w:val="004A3657"/>
    <w:rsid w:val="004A4623"/>
    <w:rsid w:val="004A48B2"/>
    <w:rsid w:val="004A6254"/>
    <w:rsid w:val="004B2717"/>
    <w:rsid w:val="004B5B88"/>
    <w:rsid w:val="004B7CC2"/>
    <w:rsid w:val="004C4060"/>
    <w:rsid w:val="004D42A3"/>
    <w:rsid w:val="004E0203"/>
    <w:rsid w:val="004E4746"/>
    <w:rsid w:val="004E5DF0"/>
    <w:rsid w:val="004F0574"/>
    <w:rsid w:val="004F2934"/>
    <w:rsid w:val="00500B9B"/>
    <w:rsid w:val="00501376"/>
    <w:rsid w:val="005050B9"/>
    <w:rsid w:val="0050736A"/>
    <w:rsid w:val="005117BE"/>
    <w:rsid w:val="005179CE"/>
    <w:rsid w:val="00530A4B"/>
    <w:rsid w:val="00533E57"/>
    <w:rsid w:val="00534054"/>
    <w:rsid w:val="005454D8"/>
    <w:rsid w:val="0056561A"/>
    <w:rsid w:val="005656C1"/>
    <w:rsid w:val="00571B9A"/>
    <w:rsid w:val="00572C7E"/>
    <w:rsid w:val="0057643F"/>
    <w:rsid w:val="00576FF5"/>
    <w:rsid w:val="005770DA"/>
    <w:rsid w:val="00580FBE"/>
    <w:rsid w:val="0058400E"/>
    <w:rsid w:val="00592C6A"/>
    <w:rsid w:val="00593450"/>
    <w:rsid w:val="005A2BC8"/>
    <w:rsid w:val="005B1B2D"/>
    <w:rsid w:val="005B2208"/>
    <w:rsid w:val="005B3F9A"/>
    <w:rsid w:val="005B5F87"/>
    <w:rsid w:val="005B6D2F"/>
    <w:rsid w:val="005C5912"/>
    <w:rsid w:val="005D126E"/>
    <w:rsid w:val="005D2909"/>
    <w:rsid w:val="005D5276"/>
    <w:rsid w:val="005E353A"/>
    <w:rsid w:val="005E4C49"/>
    <w:rsid w:val="005F4519"/>
    <w:rsid w:val="005F7BDD"/>
    <w:rsid w:val="006012F4"/>
    <w:rsid w:val="00604AFB"/>
    <w:rsid w:val="006068AE"/>
    <w:rsid w:val="00612D09"/>
    <w:rsid w:val="0061424C"/>
    <w:rsid w:val="00624FB7"/>
    <w:rsid w:val="0062676A"/>
    <w:rsid w:val="006270EB"/>
    <w:rsid w:val="006315E8"/>
    <w:rsid w:val="00633187"/>
    <w:rsid w:val="00633B50"/>
    <w:rsid w:val="006438B9"/>
    <w:rsid w:val="00651DEA"/>
    <w:rsid w:val="00652E73"/>
    <w:rsid w:val="006570CC"/>
    <w:rsid w:val="0066371A"/>
    <w:rsid w:val="006640E7"/>
    <w:rsid w:val="0066518A"/>
    <w:rsid w:val="00670013"/>
    <w:rsid w:val="0067005D"/>
    <w:rsid w:val="00671EDF"/>
    <w:rsid w:val="00674808"/>
    <w:rsid w:val="00685E37"/>
    <w:rsid w:val="00686E0E"/>
    <w:rsid w:val="006920D1"/>
    <w:rsid w:val="00693F84"/>
    <w:rsid w:val="00696ED4"/>
    <w:rsid w:val="006A22F8"/>
    <w:rsid w:val="006A750C"/>
    <w:rsid w:val="006A7CCE"/>
    <w:rsid w:val="006B3B92"/>
    <w:rsid w:val="006B58BC"/>
    <w:rsid w:val="006C7839"/>
    <w:rsid w:val="006D315F"/>
    <w:rsid w:val="006D775F"/>
    <w:rsid w:val="006E0E8B"/>
    <w:rsid w:val="006E5249"/>
    <w:rsid w:val="006E535E"/>
    <w:rsid w:val="006E64E7"/>
    <w:rsid w:val="006F09AD"/>
    <w:rsid w:val="006F4FD6"/>
    <w:rsid w:val="006F55D5"/>
    <w:rsid w:val="00700F40"/>
    <w:rsid w:val="007055C4"/>
    <w:rsid w:val="00710DA0"/>
    <w:rsid w:val="00716C07"/>
    <w:rsid w:val="00735DBC"/>
    <w:rsid w:val="00736BD1"/>
    <w:rsid w:val="007468B1"/>
    <w:rsid w:val="00747DDB"/>
    <w:rsid w:val="00754550"/>
    <w:rsid w:val="00756DA2"/>
    <w:rsid w:val="007612CD"/>
    <w:rsid w:val="0076326B"/>
    <w:rsid w:val="00763539"/>
    <w:rsid w:val="00763C90"/>
    <w:rsid w:val="007674DA"/>
    <w:rsid w:val="0077164A"/>
    <w:rsid w:val="007740B1"/>
    <w:rsid w:val="0077514E"/>
    <w:rsid w:val="00775EF6"/>
    <w:rsid w:val="00776AC7"/>
    <w:rsid w:val="00780562"/>
    <w:rsid w:val="00785B78"/>
    <w:rsid w:val="00787593"/>
    <w:rsid w:val="00787C66"/>
    <w:rsid w:val="00797AB7"/>
    <w:rsid w:val="00797EE7"/>
    <w:rsid w:val="007A2061"/>
    <w:rsid w:val="007A2F48"/>
    <w:rsid w:val="007A4FDF"/>
    <w:rsid w:val="007A4FF6"/>
    <w:rsid w:val="007A59A6"/>
    <w:rsid w:val="007A6832"/>
    <w:rsid w:val="007B2D46"/>
    <w:rsid w:val="007B40F6"/>
    <w:rsid w:val="007B587F"/>
    <w:rsid w:val="007B6446"/>
    <w:rsid w:val="007C4B64"/>
    <w:rsid w:val="007C5D73"/>
    <w:rsid w:val="007D1C73"/>
    <w:rsid w:val="007D1CB5"/>
    <w:rsid w:val="007D2611"/>
    <w:rsid w:val="007D3C89"/>
    <w:rsid w:val="007D5CB4"/>
    <w:rsid w:val="007D6B97"/>
    <w:rsid w:val="007D6D7F"/>
    <w:rsid w:val="007E62F7"/>
    <w:rsid w:val="007F3610"/>
    <w:rsid w:val="007F6BCB"/>
    <w:rsid w:val="00800485"/>
    <w:rsid w:val="00803893"/>
    <w:rsid w:val="00805A72"/>
    <w:rsid w:val="00806F74"/>
    <w:rsid w:val="00820A08"/>
    <w:rsid w:val="0082747F"/>
    <w:rsid w:val="008308CE"/>
    <w:rsid w:val="00832DC6"/>
    <w:rsid w:val="008343AC"/>
    <w:rsid w:val="008361D4"/>
    <w:rsid w:val="00841A43"/>
    <w:rsid w:val="00844931"/>
    <w:rsid w:val="00850595"/>
    <w:rsid w:val="008541A9"/>
    <w:rsid w:val="00862CB3"/>
    <w:rsid w:val="0086611F"/>
    <w:rsid w:val="00870027"/>
    <w:rsid w:val="008732AC"/>
    <w:rsid w:val="00887C94"/>
    <w:rsid w:val="00890C40"/>
    <w:rsid w:val="00892744"/>
    <w:rsid w:val="00893F20"/>
    <w:rsid w:val="00894F7E"/>
    <w:rsid w:val="00897478"/>
    <w:rsid w:val="008A623E"/>
    <w:rsid w:val="008B4464"/>
    <w:rsid w:val="008B4B73"/>
    <w:rsid w:val="008C3C2A"/>
    <w:rsid w:val="008D1BE6"/>
    <w:rsid w:val="008D29A1"/>
    <w:rsid w:val="008D5C35"/>
    <w:rsid w:val="008E0F6C"/>
    <w:rsid w:val="008E6AE9"/>
    <w:rsid w:val="008F7ADA"/>
    <w:rsid w:val="00907C76"/>
    <w:rsid w:val="00910AF2"/>
    <w:rsid w:val="0091632A"/>
    <w:rsid w:val="009170FA"/>
    <w:rsid w:val="00926132"/>
    <w:rsid w:val="00931E3C"/>
    <w:rsid w:val="00935BEB"/>
    <w:rsid w:val="00940FD9"/>
    <w:rsid w:val="00942256"/>
    <w:rsid w:val="0094587D"/>
    <w:rsid w:val="009467BD"/>
    <w:rsid w:val="00953233"/>
    <w:rsid w:val="00953477"/>
    <w:rsid w:val="00954273"/>
    <w:rsid w:val="0095713A"/>
    <w:rsid w:val="00965532"/>
    <w:rsid w:val="0097120E"/>
    <w:rsid w:val="009720DC"/>
    <w:rsid w:val="0097267E"/>
    <w:rsid w:val="00972CCA"/>
    <w:rsid w:val="00986A2C"/>
    <w:rsid w:val="009872B9"/>
    <w:rsid w:val="00991063"/>
    <w:rsid w:val="00991586"/>
    <w:rsid w:val="00993F69"/>
    <w:rsid w:val="009A0225"/>
    <w:rsid w:val="009B4116"/>
    <w:rsid w:val="009B4DE9"/>
    <w:rsid w:val="009C105C"/>
    <w:rsid w:val="009C140F"/>
    <w:rsid w:val="009C29FE"/>
    <w:rsid w:val="009C3F71"/>
    <w:rsid w:val="009D67E3"/>
    <w:rsid w:val="009E5AB4"/>
    <w:rsid w:val="009F4E2A"/>
    <w:rsid w:val="00A00EE2"/>
    <w:rsid w:val="00A025AF"/>
    <w:rsid w:val="00A05182"/>
    <w:rsid w:val="00A07200"/>
    <w:rsid w:val="00A119B8"/>
    <w:rsid w:val="00A12296"/>
    <w:rsid w:val="00A1596C"/>
    <w:rsid w:val="00A2085D"/>
    <w:rsid w:val="00A22471"/>
    <w:rsid w:val="00A22E62"/>
    <w:rsid w:val="00A34071"/>
    <w:rsid w:val="00A4137D"/>
    <w:rsid w:val="00A53D8E"/>
    <w:rsid w:val="00A54EAB"/>
    <w:rsid w:val="00A55A1F"/>
    <w:rsid w:val="00A64E9F"/>
    <w:rsid w:val="00A65012"/>
    <w:rsid w:val="00A77A02"/>
    <w:rsid w:val="00A80568"/>
    <w:rsid w:val="00A80C9C"/>
    <w:rsid w:val="00A911E4"/>
    <w:rsid w:val="00A912CF"/>
    <w:rsid w:val="00AA1869"/>
    <w:rsid w:val="00AA7832"/>
    <w:rsid w:val="00AB4697"/>
    <w:rsid w:val="00AB500F"/>
    <w:rsid w:val="00AB66F9"/>
    <w:rsid w:val="00AC119B"/>
    <w:rsid w:val="00AC2120"/>
    <w:rsid w:val="00AC3A5E"/>
    <w:rsid w:val="00AC49D7"/>
    <w:rsid w:val="00AC5D10"/>
    <w:rsid w:val="00AC5DCF"/>
    <w:rsid w:val="00AC7A7C"/>
    <w:rsid w:val="00AD05EA"/>
    <w:rsid w:val="00AD10C7"/>
    <w:rsid w:val="00AD475F"/>
    <w:rsid w:val="00AE30BB"/>
    <w:rsid w:val="00AE7294"/>
    <w:rsid w:val="00AF0260"/>
    <w:rsid w:val="00AF2702"/>
    <w:rsid w:val="00AF5AD2"/>
    <w:rsid w:val="00B04DC9"/>
    <w:rsid w:val="00B10A85"/>
    <w:rsid w:val="00B2670C"/>
    <w:rsid w:val="00B26F44"/>
    <w:rsid w:val="00B33517"/>
    <w:rsid w:val="00B35DD7"/>
    <w:rsid w:val="00B36571"/>
    <w:rsid w:val="00B4074D"/>
    <w:rsid w:val="00B500C3"/>
    <w:rsid w:val="00B55320"/>
    <w:rsid w:val="00B574DE"/>
    <w:rsid w:val="00B614F9"/>
    <w:rsid w:val="00B61D28"/>
    <w:rsid w:val="00B65381"/>
    <w:rsid w:val="00B753AA"/>
    <w:rsid w:val="00B82D12"/>
    <w:rsid w:val="00B85E59"/>
    <w:rsid w:val="00B85E7A"/>
    <w:rsid w:val="00B90368"/>
    <w:rsid w:val="00B937BD"/>
    <w:rsid w:val="00BA0582"/>
    <w:rsid w:val="00BA09C0"/>
    <w:rsid w:val="00BA23C0"/>
    <w:rsid w:val="00BA2B1D"/>
    <w:rsid w:val="00BB6A19"/>
    <w:rsid w:val="00BB7774"/>
    <w:rsid w:val="00BC06BB"/>
    <w:rsid w:val="00BC1426"/>
    <w:rsid w:val="00BC6554"/>
    <w:rsid w:val="00BC6B6C"/>
    <w:rsid w:val="00BE6C3E"/>
    <w:rsid w:val="00BE6C62"/>
    <w:rsid w:val="00BE7D0E"/>
    <w:rsid w:val="00BF1A0C"/>
    <w:rsid w:val="00BF5DD6"/>
    <w:rsid w:val="00C019D0"/>
    <w:rsid w:val="00C035D2"/>
    <w:rsid w:val="00C13E64"/>
    <w:rsid w:val="00C14226"/>
    <w:rsid w:val="00C15F38"/>
    <w:rsid w:val="00C16E15"/>
    <w:rsid w:val="00C21A48"/>
    <w:rsid w:val="00C235D7"/>
    <w:rsid w:val="00C24851"/>
    <w:rsid w:val="00C259E6"/>
    <w:rsid w:val="00C30A56"/>
    <w:rsid w:val="00C31EB3"/>
    <w:rsid w:val="00C3502A"/>
    <w:rsid w:val="00C400AD"/>
    <w:rsid w:val="00C41D1C"/>
    <w:rsid w:val="00C466B6"/>
    <w:rsid w:val="00C50550"/>
    <w:rsid w:val="00C51BB2"/>
    <w:rsid w:val="00C55824"/>
    <w:rsid w:val="00C61364"/>
    <w:rsid w:val="00C61B7A"/>
    <w:rsid w:val="00C66241"/>
    <w:rsid w:val="00C676E6"/>
    <w:rsid w:val="00C67D7D"/>
    <w:rsid w:val="00C7753F"/>
    <w:rsid w:val="00CA01BC"/>
    <w:rsid w:val="00CA1BDD"/>
    <w:rsid w:val="00CC2452"/>
    <w:rsid w:val="00CC246F"/>
    <w:rsid w:val="00CC3476"/>
    <w:rsid w:val="00CC3C59"/>
    <w:rsid w:val="00CD0A1A"/>
    <w:rsid w:val="00CD0C0E"/>
    <w:rsid w:val="00CE01BB"/>
    <w:rsid w:val="00CE1AAA"/>
    <w:rsid w:val="00CE1DB0"/>
    <w:rsid w:val="00CE1F0C"/>
    <w:rsid w:val="00CE333F"/>
    <w:rsid w:val="00CE3653"/>
    <w:rsid w:val="00CF4A82"/>
    <w:rsid w:val="00CF5FF1"/>
    <w:rsid w:val="00CF62A8"/>
    <w:rsid w:val="00D03240"/>
    <w:rsid w:val="00D045AD"/>
    <w:rsid w:val="00D057C6"/>
    <w:rsid w:val="00D06967"/>
    <w:rsid w:val="00D112AA"/>
    <w:rsid w:val="00D17ED6"/>
    <w:rsid w:val="00D2194F"/>
    <w:rsid w:val="00D26BDD"/>
    <w:rsid w:val="00D31B1D"/>
    <w:rsid w:val="00D338B7"/>
    <w:rsid w:val="00D4273F"/>
    <w:rsid w:val="00D46630"/>
    <w:rsid w:val="00D6316B"/>
    <w:rsid w:val="00D634E5"/>
    <w:rsid w:val="00D654A9"/>
    <w:rsid w:val="00D74F7A"/>
    <w:rsid w:val="00D80725"/>
    <w:rsid w:val="00D85101"/>
    <w:rsid w:val="00DA2BE4"/>
    <w:rsid w:val="00DA31C5"/>
    <w:rsid w:val="00DB5A6B"/>
    <w:rsid w:val="00DB785B"/>
    <w:rsid w:val="00DC1683"/>
    <w:rsid w:val="00DC74AC"/>
    <w:rsid w:val="00DD04BA"/>
    <w:rsid w:val="00DD5A87"/>
    <w:rsid w:val="00DD7385"/>
    <w:rsid w:val="00DE14BD"/>
    <w:rsid w:val="00DE7118"/>
    <w:rsid w:val="00DF16C5"/>
    <w:rsid w:val="00DF2657"/>
    <w:rsid w:val="00DF4A0C"/>
    <w:rsid w:val="00DF6A3E"/>
    <w:rsid w:val="00E03BB8"/>
    <w:rsid w:val="00E0764E"/>
    <w:rsid w:val="00E13549"/>
    <w:rsid w:val="00E228AC"/>
    <w:rsid w:val="00E316D0"/>
    <w:rsid w:val="00E40DBF"/>
    <w:rsid w:val="00E421C3"/>
    <w:rsid w:val="00E47FA2"/>
    <w:rsid w:val="00E521AE"/>
    <w:rsid w:val="00E614C5"/>
    <w:rsid w:val="00E62FBF"/>
    <w:rsid w:val="00E7236A"/>
    <w:rsid w:val="00E7237A"/>
    <w:rsid w:val="00E739B3"/>
    <w:rsid w:val="00E73A2E"/>
    <w:rsid w:val="00E819BE"/>
    <w:rsid w:val="00E843BB"/>
    <w:rsid w:val="00E8742A"/>
    <w:rsid w:val="00E9278D"/>
    <w:rsid w:val="00E92A81"/>
    <w:rsid w:val="00E96C37"/>
    <w:rsid w:val="00EA5F48"/>
    <w:rsid w:val="00EA5F4B"/>
    <w:rsid w:val="00EB2AA7"/>
    <w:rsid w:val="00EB629B"/>
    <w:rsid w:val="00EC07B5"/>
    <w:rsid w:val="00EC3216"/>
    <w:rsid w:val="00EC3E35"/>
    <w:rsid w:val="00ED30A2"/>
    <w:rsid w:val="00ED44F2"/>
    <w:rsid w:val="00ED5B56"/>
    <w:rsid w:val="00ED77B3"/>
    <w:rsid w:val="00EE6A43"/>
    <w:rsid w:val="00EF4BED"/>
    <w:rsid w:val="00F179C7"/>
    <w:rsid w:val="00F26C29"/>
    <w:rsid w:val="00F30963"/>
    <w:rsid w:val="00F313A3"/>
    <w:rsid w:val="00F31C35"/>
    <w:rsid w:val="00F32ED7"/>
    <w:rsid w:val="00F34387"/>
    <w:rsid w:val="00F45968"/>
    <w:rsid w:val="00F45FC6"/>
    <w:rsid w:val="00F53600"/>
    <w:rsid w:val="00F537F9"/>
    <w:rsid w:val="00F5563E"/>
    <w:rsid w:val="00F60A5D"/>
    <w:rsid w:val="00F611E2"/>
    <w:rsid w:val="00F70903"/>
    <w:rsid w:val="00F70B48"/>
    <w:rsid w:val="00F836FD"/>
    <w:rsid w:val="00F84741"/>
    <w:rsid w:val="00F86CEF"/>
    <w:rsid w:val="00F932F2"/>
    <w:rsid w:val="00F933D9"/>
    <w:rsid w:val="00F9699E"/>
    <w:rsid w:val="00F96A8E"/>
    <w:rsid w:val="00FA2E6D"/>
    <w:rsid w:val="00FA358B"/>
    <w:rsid w:val="00FA57DD"/>
    <w:rsid w:val="00FB3E76"/>
    <w:rsid w:val="00FC3791"/>
    <w:rsid w:val="00FC730E"/>
    <w:rsid w:val="00FD04D3"/>
    <w:rsid w:val="00FD27E5"/>
    <w:rsid w:val="00FE7083"/>
    <w:rsid w:val="00FE7BF1"/>
    <w:rsid w:val="00FF4B4E"/>
    <w:rsid w:val="00FF602F"/>
    <w:rsid w:val="03557185"/>
    <w:rsid w:val="11597885"/>
    <w:rsid w:val="12B40A3B"/>
    <w:rsid w:val="1C823FD5"/>
    <w:rsid w:val="1EC761C4"/>
    <w:rsid w:val="29D7795C"/>
    <w:rsid w:val="3BD32E13"/>
    <w:rsid w:val="3FDA7850"/>
    <w:rsid w:val="440A5C0D"/>
    <w:rsid w:val="45906D5F"/>
    <w:rsid w:val="4D7D50DD"/>
    <w:rsid w:val="4E6536AD"/>
    <w:rsid w:val="50EB35AB"/>
    <w:rsid w:val="5A080467"/>
    <w:rsid w:val="5C2F6E82"/>
    <w:rsid w:val="722B37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5"/>
    <w:unhideWhenUsed/>
    <w:qFormat/>
    <w:uiPriority w:val="0"/>
    <w:pPr>
      <w:tabs>
        <w:tab w:val="center" w:pos="4153"/>
        <w:tab w:val="right" w:pos="8306"/>
      </w:tabs>
      <w:snapToGrid w:val="0"/>
      <w:jc w:val="left"/>
    </w:pPr>
    <w:rPr>
      <w:sz w:val="18"/>
      <w:szCs w:val="18"/>
    </w:rPr>
  </w:style>
  <w:style w:type="paragraph" w:styleId="4">
    <w:name w:val="header"/>
    <w:basedOn w:val="1"/>
    <w:link w:val="14"/>
    <w:unhideWhenUsed/>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Emphasis"/>
    <w:basedOn w:val="8"/>
    <w:qFormat/>
    <w:uiPriority w:val="20"/>
    <w:rPr>
      <w:i/>
    </w:rPr>
  </w:style>
  <w:style w:type="character" w:styleId="10">
    <w:name w:val="Hyperlink"/>
    <w:basedOn w:val="8"/>
    <w:unhideWhenUsed/>
    <w:uiPriority w:val="99"/>
    <w:rPr>
      <w:color w:val="4B4B4B"/>
      <w:u w:val="none"/>
    </w:rPr>
  </w:style>
  <w:style w:type="paragraph" w:customStyle="1" w:styleId="11">
    <w:name w:val="列出段落1"/>
    <w:basedOn w:val="1"/>
    <w:qFormat/>
    <w:uiPriority w:val="34"/>
    <w:pPr>
      <w:ind w:firstLine="420" w:firstLineChars="200"/>
    </w:pPr>
  </w:style>
  <w:style w:type="character" w:customStyle="1" w:styleId="12">
    <w:name w:val="批注框文本 Char"/>
    <w:basedOn w:val="8"/>
    <w:link w:val="2"/>
    <w:semiHidden/>
    <w:uiPriority w:val="99"/>
    <w:rPr>
      <w:sz w:val="18"/>
      <w:szCs w:val="18"/>
    </w:rPr>
  </w:style>
  <w:style w:type="paragraph" w:styleId="13">
    <w:name w:val="List Paragraph"/>
    <w:basedOn w:val="1"/>
    <w:unhideWhenUsed/>
    <w:uiPriority w:val="99"/>
    <w:pPr>
      <w:ind w:firstLine="420" w:firstLineChars="200"/>
    </w:pPr>
  </w:style>
  <w:style w:type="character" w:customStyle="1" w:styleId="14">
    <w:name w:val="页眉 Char"/>
    <w:basedOn w:val="8"/>
    <w:link w:val="4"/>
    <w:uiPriority w:val="0"/>
    <w:rPr>
      <w:rFonts w:ascii="Calibri" w:hAnsi="Calibri"/>
      <w:kern w:val="2"/>
      <w:sz w:val="18"/>
      <w:szCs w:val="18"/>
    </w:rPr>
  </w:style>
  <w:style w:type="character" w:customStyle="1" w:styleId="15">
    <w:name w:val="页脚 Char"/>
    <w:basedOn w:val="8"/>
    <w:link w:val="3"/>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5C0CC0-C3CC-44A9-8C7B-F6EA7A7A6F3B}">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2908</Words>
  <Characters>2963</Characters>
  <Lines>45</Lines>
  <Paragraphs>12</Paragraphs>
  <TotalTime>0</TotalTime>
  <ScaleCrop>false</ScaleCrop>
  <LinksUpToDate>false</LinksUpToDate>
  <CharactersWithSpaces>2968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2019-09-15T13:36:00Z</dcterms:created>
  <dc:creator>8000000621_吴玲</dc:creator>
  <cp:lastModifiedBy>紫尾巴</cp:lastModifiedBy>
  <dcterms:modified xsi:type="dcterms:W3CDTF">2025-06-19T07:53:27Z</dcterms:modified>
  <dc:title>2015年生物制药技术专业调研报告</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eyJoZGlkIjoiOGZkMWYzN2FjY2JmZWNlY2NmNjY3MDlhYTJjYjY3NDQiLCJ1c2VySWQiOiIzMDc5MDgxMDkifQ==</vt:lpwstr>
  </property>
  <property fmtid="{D5CDD505-2E9C-101B-9397-08002B2CF9AE}" pid="4" name="ICV">
    <vt:lpwstr>A1634B77D4BE402C9B7DC0EF2928EE55_12</vt:lpwstr>
  </property>
</Properties>
</file>