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FA958">
      <w:pPr>
        <w:ind w:firstLine="560"/>
        <w:jc w:val="center"/>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FF0000"/>
          <w:sz w:val="40"/>
          <w:szCs w:val="40"/>
          <w:lang w:val="en-US" w:eastAsia="zh-CN"/>
        </w:rPr>
        <w:t>生物制药技术</w:t>
      </w:r>
      <w:r>
        <w:rPr>
          <w:rFonts w:hint="eastAsia" w:ascii="方正小标宋_GBK" w:hAnsi="方正小标宋_GBK" w:eastAsia="方正小标宋_GBK" w:cs="方正小标宋_GBK"/>
          <w:color w:val="auto"/>
          <w:sz w:val="40"/>
          <w:szCs w:val="40"/>
          <w:lang w:val="en-US" w:eastAsia="zh-CN"/>
        </w:rPr>
        <w:t>专业论证报告</w:t>
      </w:r>
    </w:p>
    <w:p w14:paraId="1B251B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一、增设生物制药技术专业的必要性</w:t>
      </w:r>
    </w:p>
    <w:p w14:paraId="0CB9ED35">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生物产业是21世纪创新最为活跃、影响最为深远的新兴产业，是我国战略性新兴产业的主攻方向，对于我国抢占新一轮科技革命和产业革命制高点，加快壮大新产业、发展新经济、培育新动能，建设“健康中国”具有重要意义。根据《中华人民共和国国民经济和社会发展第十三个五年规划纲要》和《“十三五”国家战略性新兴产业发展规划》，加快推动生物产业成为国民经济的支柱产业，而生物制药产业在其中担负举足轻重的作用。生物药是目前世界上最畅销的医药产品。2018年的十大畅销药物中，八种为生物药。凭借生物药卓越的疗效、生物科技的显着发展以及研发投入不断增加，全球生物药市场在2013年至2017年期间实现了快速增长，预计到2020年全球生物药市场将进一步增长至3276亿美元。</w:t>
      </w:r>
    </w:p>
    <w:p w14:paraId="29419655">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随着我国经济的发展、生活环境的变化、人们健康观念的转变以及老龄化进程的加快等因素影响，我国的生物医药产业也被看做朝阳产业，发展势头迅猛。2000-2015年我国生物制药行业大中型企业新产品产销规模呈较快增长趋势，随着生物医药产业技术不断突破、健康中国2030等政策不断出台。到2020年，我国生物医药市场将成为仅次于美国的全球第二大生物医药市场。</w:t>
      </w:r>
    </w:p>
    <w:p w14:paraId="6F6C4E4E">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1.产业的布局与发展需要大量的生物制药专业人才</w:t>
      </w:r>
    </w:p>
    <w:p w14:paraId="5B30A5D7">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从产业布局来看，我国的生物医药产业在布局上以产业关联为基础、地理靠近为特征，形成了环渤海、长三角、珠三角三大重点区域。其中，长三角形成以上海为核心，江苏、浙江为两翼的生物医药产业园区，在研发与产业化、外包服务、国际交流等方面具有较大优势。上海拥有完善的生物医药创新体系和产业集群，江苏和浙江，作为生物医药产业成长性最好、最活跃的地区，生物医药产值位居全国首列，其中江苏已形成苏州、南京、泰州、连云港等一批生物医药研发制造基地。市场的发展造成企业对于生物制药专业人才的需求陡增。而人才的严重不足，已成为制约我国生物医药产业发展的瓶颈，我国生物医药产业的发展亟需大量的医药高级技术人才。</w:t>
      </w:r>
    </w:p>
    <w:p w14:paraId="6E693FC2">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2.生物医药企业的发展需要大量的生物制药专业人才</w:t>
      </w:r>
    </w:p>
    <w:p w14:paraId="166982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目前，我国生物制药产业发展较快，但仍然存在一些问题，制约了其良性发展，可归纳为四个方面：人员、技术、资金和产业结构，其中，人员是第一位的。生物制药企业的从业人员需要具备一定专业技术知识和技能，企业提升核心竞争力和持续发展的有效保障是人才建设，随着生物制药技术的不断更新，企业面临着巨大的竞争压力，特别是人才的竞争。对于每一个生物制药企业来说，一项重要的任务就是选聘优秀的人才成为自己的员工。</w:t>
      </w:r>
    </w:p>
    <w:p w14:paraId="404C1F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根据BioPlan咨询公司的一项调查研究显示，受访的90%的中国生物制药公司经理人表示，在未来10年把符合GMP生产的生物制品分销到全球是公司重要的战略部署之一。此外，近50%的受访者表示，实现这一战略目标需要更多具有“科学或者技术专长”的人才。</w:t>
      </w:r>
    </w:p>
    <w:p w14:paraId="2388540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二、增设生物制药技术专业的可行性</w:t>
      </w:r>
    </w:p>
    <w:p w14:paraId="2631AC3B">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1.我院生物制药技术专业的历史延革</w:t>
      </w:r>
    </w:p>
    <w:p w14:paraId="517AC909">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2005年，我院应用化学技术系（后更名为制药与环境工程学院）开设“生物制药技术”专业并开始招生。2008年生物制药技术专业成为江苏省示范高职院校重点建设专业。2016年因国家高职高专专业目录调整的需要，原生物制药技术专业、化学制药技术专业、药物制剂技术专业合并称为药品生产技术专业，该专业招生入校后，年均两个班以上按药品生产技术专业（生物制药方向）进行培养，此模式运行到2020年。自2005年以来，生物制药技术专业及方向，培养生物制药毕业生逾1000人，多面向长三角生物医药企业就业，如：苏州诺华制药科技有限公司、扬子江药业集团、正大天晴药业集团、江苏恒瑞医药股份有限公司、江苏康缘药业股份有限公司、江苏宝洁有限公司、无锡药明生物股份有限公司、南京金斯瑞生物科技有限公司、常州制药厂有限公司等。生物制药专业学生主要从事生物医药产品的研发助理、生产操作、质量控制（QC）、质量保证（QA）、</w:t>
      </w:r>
      <w:bookmarkStart w:id="0" w:name="_GoBack"/>
      <w:bookmarkEnd w:id="0"/>
      <w:r>
        <w:rPr>
          <w:rFonts w:hint="eastAsia" w:ascii="方正仿宋_GBK" w:hAnsi="方正仿宋_GBK" w:eastAsia="方正仿宋_GBK" w:cs="方正仿宋_GBK"/>
          <w:color w:val="auto"/>
          <w:sz w:val="32"/>
          <w:szCs w:val="32"/>
          <w:lang w:val="en-US" w:eastAsia="zh-CN"/>
        </w:rPr>
        <w:t>技术管理等，年收入：8-12万元，就业对口率达98.5%。2016年前后相比较，生物制药技术专业招生过程中学生及家长的认同度和就业过程中招聘企业的针对性均处于本校前列，所以恢复生物制药技术专业对学院的招生就业工作将更为有利。</w:t>
      </w:r>
    </w:p>
    <w:p w14:paraId="5039D388">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2.师资队伍力量雄厚</w:t>
      </w:r>
    </w:p>
    <w:p w14:paraId="6B34F7B7">
      <w:pPr>
        <w:keepNext w:val="0"/>
        <w:keepLines w:val="0"/>
        <w:pageBreakBefore w:val="0"/>
        <w:widowControl w:val="0"/>
        <w:kinsoku/>
        <w:wordWrap/>
        <w:overflowPunct/>
        <w:topLinePunct w:val="0"/>
        <w:autoSpaceDE/>
        <w:autoSpaceDN/>
        <w:bidi w:val="0"/>
        <w:adjustRightInd/>
        <w:snapToGrid/>
        <w:spacing w:line="560" w:lineRule="exact"/>
        <w:ind w:firstLine="561"/>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本专业现有专任教师16人，外聘兼职教师20人。专任教师中教授2人、副教授5人、讲师7人、实验员2人，博士4人、硕士8人，双师比例为100 %。江苏省“青蓝工程”骨干教师2名，先后有10人次被派往德国、新加坡、澳大利亚和香港等国家和地区学习先进的职业教育理念，专业教学团队先后获得江苏省“青年文明号”、常州市“学习型班组”和“工人先锋号”等荣誉称号。</w:t>
      </w:r>
    </w:p>
    <w:p w14:paraId="62AA3AE7">
      <w:pPr>
        <w:keepNext w:val="0"/>
        <w:keepLines w:val="0"/>
        <w:pageBreakBefore w:val="0"/>
        <w:widowControl w:val="0"/>
        <w:kinsoku/>
        <w:wordWrap/>
        <w:overflowPunct/>
        <w:topLinePunct w:val="0"/>
        <w:autoSpaceDE/>
        <w:autoSpaceDN/>
        <w:bidi w:val="0"/>
        <w:adjustRightInd/>
        <w:snapToGrid/>
        <w:spacing w:line="560" w:lineRule="exact"/>
        <w:ind w:firstLine="561"/>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在未来3年左右的时间内，计划通过外聘内培的方式，聘请企业或兄弟院校专家以升级师资队伍，培养现有师资以提升专业水平，从而建立起一支结构合理、教学水平高、工程实践能力强、具有开拓创新精神的专兼结合的教学团队。</w:t>
      </w:r>
    </w:p>
    <w:p w14:paraId="36A87CAA">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3.实验实训实习条件优越</w:t>
      </w:r>
    </w:p>
    <w:p w14:paraId="6D82065B">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专业培养校内实训主要由江苏省高职实训基地—生物制药生产性实训基地、江苏省生物酶工程技术研究开发中心和常州市应用酶工程重点实验室组成，教学固定资产设备总值达1460万元，建筑面积4275m2。其中，生物制药生产性实训基地包含：微生物与发酵实训室、分离纯化实训室、基因与细胞工程实训室和学生创新实验室及化学实验技术实训中心和分析测试技术实训中心；同时，按GMP规范要求，与张家港华昌制药有限公司共建一个生物药物中试生产性车间并全面引入企业文化和管理模式。</w:t>
      </w:r>
    </w:p>
    <w:p w14:paraId="03165AE8">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拥有无锡药明康德生物技术股份有限公司、扬子江药业集团和江苏宝洁有限公司等16家企业为校外实训基地，其中，战略型校外实训基地2个，新增5个紧密型校外实训基地，在常州生物医药产业园和校外实训基地内建立教师工作站1~2个。</w:t>
      </w:r>
    </w:p>
    <w:p w14:paraId="79C656EE">
      <w:pPr>
        <w:keepNext w:val="0"/>
        <w:keepLines w:val="0"/>
        <w:pageBreakBefore w:val="0"/>
        <w:widowControl w:val="0"/>
        <w:kinsoku/>
        <w:wordWrap/>
        <w:overflowPunct/>
        <w:topLinePunct w:val="0"/>
        <w:autoSpaceDE/>
        <w:autoSpaceDN/>
        <w:bidi w:val="0"/>
        <w:adjustRightInd/>
        <w:snapToGrid/>
        <w:spacing w:line="560" w:lineRule="exact"/>
        <w:ind w:firstLine="561"/>
        <w:jc w:val="both"/>
        <w:textAlignment w:val="auto"/>
        <w:rPr>
          <w:rFonts w:hint="eastAsia" w:ascii="方正仿宋_GBK" w:hAnsi="方正仿宋_GBK" w:eastAsia="方正仿宋_GBK" w:cs="方正仿宋_GBK"/>
          <w:color w:val="auto"/>
          <w:sz w:val="32"/>
          <w:szCs w:val="32"/>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18BDA594-1E08-44B0-A066-D335F8F45426}"/>
  </w:font>
  <w:font w:name="方正小标宋_GBK">
    <w:panose1 w:val="02000000000000000000"/>
    <w:charset w:val="86"/>
    <w:family w:val="auto"/>
    <w:pitch w:val="default"/>
    <w:sig w:usb0="A00002BF" w:usb1="38CF7CFA" w:usb2="00082016" w:usb3="00000000" w:csb0="00040001" w:csb1="00000000"/>
    <w:embedRegular r:id="rId2" w:fontKey="{5EB67542-875B-4A65-B19B-3E5BC87A3624}"/>
  </w:font>
  <w:font w:name="方正黑体_GBK">
    <w:altName w:val="微软雅黑"/>
    <w:panose1 w:val="00000000000000000000"/>
    <w:charset w:val="00"/>
    <w:family w:val="auto"/>
    <w:pitch w:val="default"/>
    <w:sig w:usb0="00000000" w:usb1="00000000" w:usb2="00000000" w:usb3="00000000" w:csb0="00000000" w:csb1="00000000"/>
    <w:embedRegular r:id="rId3" w:fontKey="{1ECFCA38-656F-49FA-B08F-3FEE9E7CE933}"/>
  </w:font>
  <w:font w:name="微软雅黑">
    <w:panose1 w:val="020B0503020204020204"/>
    <w:charset w:val="86"/>
    <w:family w:val="auto"/>
    <w:pitch w:val="default"/>
    <w:sig w:usb0="80000287" w:usb1="2ACF3C50" w:usb2="00000016" w:usb3="00000000" w:csb0="0004001F" w:csb1="00000000"/>
    <w:embedRegular r:id="rId4" w:fontKey="{F3DFB237-D9AE-4EC5-989B-40D5821B0A8F}"/>
  </w:font>
  <w:font w:name="方正仿宋_GBK">
    <w:panose1 w:val="02000000000000000000"/>
    <w:charset w:val="86"/>
    <w:family w:val="auto"/>
    <w:pitch w:val="default"/>
    <w:sig w:usb0="A00002BF" w:usb1="38CF7CFA" w:usb2="00082016" w:usb3="00000000" w:csb0="00040001" w:csb1="00000000"/>
    <w:embedRegular r:id="rId5" w:fontKey="{FC451AD2-1B66-4C1D-AF2C-2D1E56A1C037}"/>
  </w:font>
  <w:font w:name="方正楷体_GBK">
    <w:panose1 w:val="02000000000000000000"/>
    <w:charset w:val="86"/>
    <w:family w:val="auto"/>
    <w:pitch w:val="default"/>
    <w:sig w:usb0="800002BF" w:usb1="38CF7CFA" w:usb2="00000016" w:usb3="00000000" w:csb0="00040000" w:csb1="00000000"/>
    <w:embedRegular r:id="rId6" w:fontKey="{E88CDB66-12D0-4D9D-9870-D6D52F2422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A70F3">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BFB7507">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7A67C">
    <w:pPr>
      <w:pStyle w:val="4"/>
      <w:jc w:val="righ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****专业论证报告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15185"/>
    <w:rsid w:val="001C356D"/>
    <w:rsid w:val="00315185"/>
    <w:rsid w:val="00364A82"/>
    <w:rsid w:val="00520069"/>
    <w:rsid w:val="006521F8"/>
    <w:rsid w:val="00714C8F"/>
    <w:rsid w:val="00841058"/>
    <w:rsid w:val="00843C7D"/>
    <w:rsid w:val="00955B63"/>
    <w:rsid w:val="00B04A20"/>
    <w:rsid w:val="00BB6F74"/>
    <w:rsid w:val="00C00C55"/>
    <w:rsid w:val="00D152C2"/>
    <w:rsid w:val="00F842F6"/>
    <w:rsid w:val="00FA680E"/>
    <w:rsid w:val="160C0A49"/>
    <w:rsid w:val="23644190"/>
    <w:rsid w:val="475655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rPr>
      <w:rFonts w:ascii="Times New Roman" w:hAnsi="Times New Roman" w:eastAsia="宋体" w:cs="Times New Roman"/>
      <w:szCs w:val="24"/>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czie</Company>
  <Pages>5</Pages>
  <Words>2253</Words>
  <Characters>2349</Characters>
  <Lines>16</Lines>
  <Paragraphs>4</Paragraphs>
  <TotalTime>17</TotalTime>
  <ScaleCrop>false</ScaleCrop>
  <LinksUpToDate>false</LinksUpToDate>
  <CharactersWithSpaces>2350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2019-10-11T02:45:00Z</dcterms:created>
  <dc:creator>陈川</dc:creator>
  <cp:lastModifiedBy>紫尾巴</cp:lastModifiedBy>
  <cp:lastPrinted>2019-10-11T08:46:00Z</cp:lastPrinted>
  <dcterms:modified xsi:type="dcterms:W3CDTF">2025-06-19T07:57:27Z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eyJoZGlkIjoiOGZkMWYzN2FjY2JmZWNlY2NmNjY3MDlhYTJjYjY3NDQiLCJ1c2VySWQiOiIzMDc5MDgxMDkifQ==</vt:lpwstr>
  </property>
  <property fmtid="{D5CDD505-2E9C-101B-9397-08002B2CF9AE}" pid="3" name="KSOProductBuildVer">
    <vt:lpwstr>2052-12.1.0.19770</vt:lpwstr>
  </property>
  <property fmtid="{D5CDD505-2E9C-101B-9397-08002B2CF9AE}" pid="4" name="ICV">
    <vt:lpwstr>7C4F83F2EAA9488893F09E30E141C434_12</vt:lpwstr>
  </property>
</Properties>
</file>