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FC26F">
      <w:pPr>
        <w:pageBreakBefore w:val="0"/>
        <w:widowControl w:val="0"/>
        <w:kinsoku/>
        <w:wordWrap/>
        <w:overflowPunct/>
        <w:topLinePunct w:val="0"/>
        <w:autoSpaceDE/>
        <w:autoSpaceDN/>
        <w:bidi w:val="0"/>
        <w:spacing w:line="560" w:lineRule="exact"/>
        <w:ind w:firstLine="800" w:firstLineChars="200"/>
        <w:jc w:val="center"/>
        <w:textAlignment w:val="auto"/>
        <w:rPr>
          <w:rFonts w:hint="eastAsia" w:ascii="方正小标宋_GBK" w:hAnsi="方正小标宋_GBK" w:eastAsia="方正小标宋_GBK" w:cs="方正小标宋_GBK"/>
          <w:color w:val="auto"/>
          <w:sz w:val="40"/>
          <w:szCs w:val="40"/>
          <w:lang w:val="en-US" w:eastAsia="zh-CN"/>
        </w:rPr>
      </w:pPr>
      <w:r>
        <w:rPr>
          <w:rFonts w:hint="eastAsia" w:ascii="方正小标宋_GBK" w:hAnsi="方正小标宋_GBK" w:eastAsia="方正小标宋_GBK" w:cs="方正小标宋_GBK"/>
          <w:color w:val="FF0000"/>
          <w:sz w:val="40"/>
          <w:szCs w:val="40"/>
          <w:lang w:val="en-US" w:eastAsia="zh-CN"/>
        </w:rPr>
        <w:t>生物制药技术</w:t>
      </w:r>
      <w:r>
        <w:rPr>
          <w:rFonts w:hint="eastAsia" w:ascii="方正小标宋_GBK" w:hAnsi="方正小标宋_GBK" w:eastAsia="方正小标宋_GBK" w:cs="方正小标宋_GBK"/>
          <w:color w:val="auto"/>
          <w:sz w:val="40"/>
          <w:szCs w:val="40"/>
          <w:lang w:val="en-US" w:eastAsia="zh-CN"/>
        </w:rPr>
        <w:t>专业建设规划</w:t>
      </w:r>
    </w:p>
    <w:p w14:paraId="15FB42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一、专业名称</w:t>
      </w:r>
    </w:p>
    <w:p w14:paraId="15881CCC">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专业名称：生物制药技术</w:t>
      </w:r>
    </w:p>
    <w:p w14:paraId="13EF20E1">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专业编码：590207</w:t>
      </w:r>
    </w:p>
    <w:p w14:paraId="236261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二、指导思想</w:t>
      </w:r>
    </w:p>
    <w:p w14:paraId="21E79718">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切实贯彻执行《教育部关于深化职业教育教学改革全面提高人才培养质量的若干意见》、《高等职业教育创新发展行动计划》和《省政府办公厅关于印发江苏高校品牌专业建设工程实施方案的通知》等文件精神，坚持“立德树人”的根本任务，进一步提高人才培养质量，着力推进素质教育，促进学生可持续全面发展，使其“思想有高度、专业有特长、就业有优势、创业有基础、发展有空间”。</w:t>
      </w:r>
    </w:p>
    <w:p w14:paraId="58B1470E">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本着职业岗位明确、层次定位准确、培养模式先进、专业特色鲜明的“四原则”，通过结合区域产业的优势和特色、结合现有专业办学基础、结合学院周边资源、结合学院项目化教学改革的先进模式的“四结合”，做好建设先进课程体系、建设优秀教学团队、建设合理教学设施、建设有力社会保障的“四建设”，为地区经济和我省我市“十三五”规划中的产业升级、企事业单位、安全服务机构培养安全技术与管理应用型高技能人才。</w:t>
      </w:r>
    </w:p>
    <w:p w14:paraId="4F45FB54">
      <w:pPr>
        <w:pStyle w:val="2"/>
        <w:pageBreakBefore w:val="0"/>
        <w:widowControl w:val="0"/>
        <w:kinsoku/>
        <w:wordWrap/>
        <w:overflowPunct/>
        <w:topLinePunct w:val="0"/>
        <w:autoSpaceDE/>
        <w:autoSpaceDN/>
        <w:bidi w:val="0"/>
        <w:spacing w:line="560" w:lineRule="exact"/>
        <w:ind w:firstLine="640" w:firstLineChars="200"/>
        <w:jc w:val="left"/>
        <w:textAlignment w:val="auto"/>
        <w:rPr>
          <w:rFonts w:hint="eastAsia" w:ascii="方正黑体_GBK" w:hAnsi="方正黑体_GBK" w:eastAsia="方正黑体_GBK" w:cs="方正黑体_GBK"/>
          <w:b w:val="0"/>
          <w:bCs w:val="0"/>
          <w:color w:val="auto"/>
          <w:kern w:val="2"/>
          <w:sz w:val="32"/>
          <w:szCs w:val="32"/>
          <w:lang w:val="en-US" w:eastAsia="zh-CN" w:bidi="ar-SA"/>
        </w:rPr>
      </w:pPr>
      <w:r>
        <w:rPr>
          <w:rFonts w:hint="eastAsia" w:ascii="方正黑体_GBK" w:hAnsi="方正黑体_GBK" w:eastAsia="方正黑体_GBK" w:cs="方正黑体_GBK"/>
          <w:b w:val="0"/>
          <w:bCs w:val="0"/>
          <w:color w:val="auto"/>
          <w:kern w:val="2"/>
          <w:sz w:val="32"/>
          <w:szCs w:val="32"/>
          <w:lang w:val="en-US" w:eastAsia="zh-CN" w:bidi="ar-SA"/>
        </w:rPr>
        <w:t>三、专业建设基础</w:t>
      </w:r>
    </w:p>
    <w:p w14:paraId="4B7AD052">
      <w:pPr>
        <w:pStyle w:val="33"/>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楷体_GBK" w:hAnsi="方正楷体_GBK" w:eastAsia="方正楷体_GBK" w:cs="方正楷体_GBK"/>
          <w:color w:val="auto"/>
          <w:kern w:val="2"/>
          <w:sz w:val="32"/>
          <w:szCs w:val="32"/>
          <w:lang w:val="en-US" w:eastAsia="zh-CN" w:bidi="ar-SA"/>
        </w:rPr>
      </w:pPr>
      <w:r>
        <w:rPr>
          <w:rFonts w:hint="eastAsia" w:ascii="方正楷体_GBK" w:hAnsi="方正楷体_GBK" w:eastAsia="方正楷体_GBK" w:cs="方正楷体_GBK"/>
          <w:color w:val="auto"/>
          <w:kern w:val="2"/>
          <w:sz w:val="32"/>
          <w:szCs w:val="32"/>
          <w:lang w:val="en-US" w:eastAsia="zh-CN" w:bidi="ar-SA"/>
        </w:rPr>
        <w:t>1. 区域生物制药技术产业强劲发展</w:t>
      </w:r>
    </w:p>
    <w:p w14:paraId="52E4316D">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江苏是我国生物医药产业的发达地区，2019年实现年产值3000亿元，总量规模约占全国的13.5％。“十四五”期间，江苏将继续把生物医药作为重点培育和优先发展的新兴产业。按照《江苏省政府关于推动生物医药产业高质量发展的意见》和《江苏省生物技术和新医药产业发展规划纲要》，江苏将继续建设四大医药板块，即苏中的中国泰州医药城、苏南的苏锡常生物医药产业群、南京的生物技术产业综合基地以及苏北的连云港新医药产业基地，逐步形成沿江七市的生物医药产业带，努力培育100个拥有自主技术和品牌的企业，开发100个具有高附加值和高市场占有率的产品，建设100个创新支撑平台，打造一批生物医药服务外包骨干企业，实现年工业总产值超过5000亿元。</w:t>
      </w:r>
    </w:p>
    <w:p w14:paraId="007E581A">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地处苏锡常生物医药产业群的常州市，“十一五”就把生物医药作为五大振兴产业之一，目前已基本形成了生物技术和新医药、生物化工、生物质能和“三药”中间体配套协调发展的生物医药产业体系，2010年生物技术及制药产业规模以上企业实现工业总产值达360亿元。《常州市新兴产业“十二五”规划》提出，至2015年，争取向生物医药产业累计投入150亿元，规模以上企业销售收入争取实现850亿元，年均递增 34%。常州正在建设国家级创新型科技园区“一核八园”，作为其重要组成部分的常州生物医药产业园，是常州市规划建设中的生物医药产业集聚区，2010年被批准为省级科技产业园区，将重点发展生化药物、基因工程药物、小分子药物等生物药物，以及现代中药和医疗器械设备等。</w:t>
      </w:r>
    </w:p>
    <w:p w14:paraId="70FF9CE6">
      <w:pPr>
        <w:pStyle w:val="33"/>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楷体_GBK" w:hAnsi="方正楷体_GBK" w:eastAsia="方正楷体_GBK" w:cs="方正楷体_GBK"/>
          <w:color w:val="auto"/>
          <w:kern w:val="2"/>
          <w:sz w:val="32"/>
          <w:szCs w:val="32"/>
          <w:lang w:val="en-US" w:eastAsia="zh-CN" w:bidi="ar-SA"/>
        </w:rPr>
      </w:pPr>
      <w:r>
        <w:rPr>
          <w:rFonts w:hint="eastAsia" w:ascii="方正楷体_GBK" w:hAnsi="方正楷体_GBK" w:eastAsia="方正楷体_GBK" w:cs="方正楷体_GBK"/>
          <w:color w:val="auto"/>
          <w:kern w:val="2"/>
          <w:sz w:val="32"/>
          <w:szCs w:val="32"/>
          <w:lang w:val="en-US" w:eastAsia="zh-CN" w:bidi="ar-SA"/>
        </w:rPr>
        <w:t>2.高端技能型生物制药人才明显不足</w:t>
      </w:r>
    </w:p>
    <w:p w14:paraId="45513E96">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区域经济结构的调整、升级与生物医药产业的快速发展，势必需要大量高端技能型专门人才作支撑。《江苏省新兴产业倍增计划》显示，江苏省共有1200余家生物制药企业，一线生产技能型人才共约16万人，其中一线生产操作人员约12.8万人（本科及以上、专科和专科以下学历比为1:11:8），一线技术和质量管理人员约3.2万人（本科及以上与专科学历比为7:3）。《2009－2011年常州市振兴五大产业行动计划》显示，常州有近200家生物制药企业，一线生产技能型人才约1.7万人，其中生产一线操作人员约1.2万人，一线技术和质量管理人员约3400人。一线生产操作人员中，高级工、中级工和初级工比为1:4:7。可见，一线生产技能型人才结构不够合理，高端技能型人才严重偏低。</w:t>
      </w:r>
    </w:p>
    <w:p w14:paraId="1D006D7E">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据江苏省人才市场调研数据分析，江苏省90%的生物制药企业制定了扩大人才需求三年规划，预计每年高端技能型人才需求量为5000人左右，其中一线高技能型操作员约为3000人，常州市每年需要约1000人以上。目前，江苏省仅有我院药品生产技术专业中有生物制药方向，因此，迫切需要大力建设生物制药技术专业，重点培养高端技能型生物制药人才，努力满足区域生物医药产业的强劲发展及其对一线技能型人才的旺盛需求。</w:t>
      </w:r>
    </w:p>
    <w:p w14:paraId="36F52CD7">
      <w:pPr>
        <w:pStyle w:val="33"/>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楷体_GBK" w:hAnsi="方正楷体_GBK" w:eastAsia="方正楷体_GBK" w:cs="方正楷体_GBK"/>
          <w:color w:val="auto"/>
          <w:kern w:val="2"/>
          <w:sz w:val="32"/>
          <w:szCs w:val="32"/>
          <w:lang w:val="en-US" w:eastAsia="zh-CN" w:bidi="ar-SA"/>
        </w:rPr>
      </w:pPr>
      <w:r>
        <w:rPr>
          <w:rFonts w:hint="eastAsia" w:ascii="方正楷体_GBK" w:hAnsi="方正楷体_GBK" w:eastAsia="方正楷体_GBK" w:cs="方正楷体_GBK"/>
          <w:color w:val="auto"/>
          <w:kern w:val="2"/>
          <w:sz w:val="32"/>
          <w:szCs w:val="32"/>
          <w:lang w:val="en-US" w:eastAsia="zh-CN" w:bidi="ar-SA"/>
        </w:rPr>
        <w:t>3.专业建设初见成效</w:t>
      </w:r>
    </w:p>
    <w:p w14:paraId="63915C40">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区域生物医药产业的强劲发展，客观上拉动了我院生物制药技术专业的快速发展。我院自1999年开设生物与化学制药专业以来，历年圆满完成招生计划，就业率逐年提高，达到了100%。为顺应经济的发展和专业建设要求，2005年将该专业调整为生物制药技术和化学制药技术2个独立的专业，2008年生物制药技术专业成为江苏省示范高职院校重点建设专业。该专业以招收高中后三年制的学生为主，学生报到率达95%以上。这表明生物制药技术专业有较大的生源市场，也说明本专业已被考生和社会认可。近年来，生物制药技术专业的建设成效主要表现在以下方面：</w:t>
      </w:r>
    </w:p>
    <w:p w14:paraId="34E36E21">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积极开展教学改革 按照学校“素质基础、能力核心、工学结合”的人才培养要求，努力提升教学质量，生物制药技术专业全面开展了项目化教学，实施以行动为导向的课程体系改革，并取得显著成效。《酶工程技术》为全国高职高专生物技术教学指导委员会精品课程，《化学原料药开发》为江苏省高等学校精品课程，《无机化工产品品质检验》和《仪器分析测试技术》为国家级精品课程。《高职制药类专业五业贯通人才培养模式探索与实践》获2011年江苏省高等教育教学成果二等奖，《酶制剂生产及应用》网络课件获2011年江苏省高等学校优秀多媒体教学课件二等奖。</w:t>
      </w:r>
    </w:p>
    <w:p w14:paraId="6E8136A4">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重视实训基地建设 为保证项目化教学的顺利开展和实践教学需要，学院加大了生物制药技术专业实训基地的建设力度。初步建成省级高职实训基地—生物制药生产性实训基地，同时拥有生物技术实训中心、制药技术实训中心、化学实验技术实训中心和分析测试技术实训中心，教学固定资产设备总值近1870万元，使用面积达4231.9m2。张家港华昌药业有限公司、常州泰康生物化学制药有限公司和常茂生物工程有限公司等8家企业为校外实训基地。</w:t>
      </w:r>
    </w:p>
    <w:p w14:paraId="7ED9B003">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注重学生技能训练 高端技能型人才不仅应具备基本的专业知识，更重要的是具有过硬的专业技能和实际操作能力。生物制药技术专业学生在2008、2009、2010年全国高职高专生物技术技能大赛中均摘得桂冠，是全国唯一一所团体连续获得最高荣誉的院校。三年来，先后有233位学生参加了发酵工、生化药品提取工的职业资格培训和技能鉴定，通过率100%。毕业生凭借其过硬的专业技能与良好的综合素质受到用人单位欢迎，一次性就业率保持在98％以上。</w:t>
      </w:r>
    </w:p>
    <w:p w14:paraId="6D1B718C">
      <w:pPr>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深入开展校企合作 生物制药技术专业拥有江苏省应用酶工程技术研究开发中心和常州市应用酶工程重点实验室，实施互利共赢的校企合作运行机制，积极开展委托开发、联合开发、成果转让等多种形式的校企合作。企业在分享学校技术开发成果、实现其经济效益的同时，主动参与学校的专业建设和教学改革，提高了高端技能型人才的培养水平。</w:t>
      </w:r>
    </w:p>
    <w:p w14:paraId="7F03613E">
      <w:pPr>
        <w:pStyle w:val="33"/>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楷体_GBK" w:hAnsi="方正楷体_GBK" w:eastAsia="方正楷体_GBK" w:cs="方正楷体_GBK"/>
          <w:color w:val="auto"/>
          <w:kern w:val="2"/>
          <w:sz w:val="32"/>
          <w:szCs w:val="32"/>
          <w:lang w:val="en-US" w:eastAsia="zh-CN" w:bidi="ar-SA"/>
        </w:rPr>
      </w:pPr>
      <w:r>
        <w:rPr>
          <w:rFonts w:hint="eastAsia" w:ascii="方正楷体_GBK" w:hAnsi="方正楷体_GBK" w:eastAsia="方正楷体_GBK" w:cs="方正楷体_GBK"/>
          <w:color w:val="auto"/>
          <w:kern w:val="2"/>
          <w:sz w:val="32"/>
          <w:szCs w:val="32"/>
          <w:lang w:val="en-US" w:eastAsia="zh-CN" w:bidi="ar-SA"/>
        </w:rPr>
        <w:t>4.专业建设存在不足</w:t>
      </w:r>
    </w:p>
    <w:p w14:paraId="25D815E6">
      <w:pPr>
        <w:pStyle w:val="33"/>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（1）专业服务区域生物医药产业快速发展的能力不足；校企紧密合作及社会多方参与共建专业的体制机制有待完善。</w:t>
      </w:r>
    </w:p>
    <w:p w14:paraId="730310C3">
      <w:pPr>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（2）课程教学内容与行业技术应用融合不够；具合理性，实践性、开放性的教学项目仍需精心设计和完善；项目化教学方法与手段未呈现多向性；基于现代信息技术的共享型教学资源库亟待加强建设。</w:t>
      </w:r>
    </w:p>
    <w:p w14:paraId="4BBE5BC0">
      <w:pPr>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（3）行业企业专家参与专业建设深度不够；“双师型”教师队伍的建设和管理制度尚需完善；教师的整体素质和能力尚不能满足生物制药高端技能型人才培养的要求。</w:t>
      </w:r>
    </w:p>
    <w:p w14:paraId="2970BB70">
      <w:pPr>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（4）人才培养中现代企业文化融入不够；职业道德和职业精神培养亟需加强；素质教育仍需推进；</w:t>
      </w:r>
    </w:p>
    <w:p w14:paraId="5E9A776E">
      <w:pPr>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（5）多方参与的第三方人才质量评价体系仍需完善。</w:t>
      </w:r>
    </w:p>
    <w:p w14:paraId="5C4FD190">
      <w:pPr>
        <w:pStyle w:val="2"/>
        <w:pageBreakBefore w:val="0"/>
        <w:widowControl w:val="0"/>
        <w:kinsoku/>
        <w:wordWrap/>
        <w:overflowPunct/>
        <w:topLinePunct w:val="0"/>
        <w:autoSpaceDE/>
        <w:autoSpaceDN/>
        <w:bidi w:val="0"/>
        <w:spacing w:line="560" w:lineRule="exact"/>
        <w:ind w:firstLine="640" w:firstLineChars="200"/>
        <w:textAlignment w:val="auto"/>
        <w:rPr>
          <w:rFonts w:hint="eastAsia" w:ascii="方正黑体_GBK" w:hAnsi="方正黑体_GBK" w:eastAsia="方正黑体_GBK" w:cs="方正黑体_GBK"/>
          <w:b w:val="0"/>
          <w:bCs w:val="0"/>
          <w:color w:val="auto"/>
          <w:kern w:val="2"/>
          <w:sz w:val="32"/>
          <w:szCs w:val="32"/>
          <w:lang w:val="en-US" w:eastAsia="zh-CN" w:bidi="ar-SA"/>
        </w:rPr>
      </w:pPr>
      <w:bookmarkStart w:id="0" w:name="_Toc268505337"/>
      <w:bookmarkStart w:id="1" w:name="_Toc268443632"/>
      <w:bookmarkStart w:id="2" w:name="_Toc268499853"/>
      <w:bookmarkStart w:id="3" w:name="_Toc268486888"/>
      <w:bookmarkStart w:id="4" w:name="_Toc268505072"/>
      <w:bookmarkStart w:id="5" w:name="_Toc268507570"/>
      <w:bookmarkStart w:id="6" w:name="_Toc305784991"/>
      <w:bookmarkStart w:id="7" w:name="_Toc305785355"/>
      <w:r>
        <w:rPr>
          <w:rFonts w:hint="eastAsia" w:ascii="方正黑体_GBK" w:hAnsi="方正黑体_GBK" w:eastAsia="方正黑体_GBK" w:cs="方正黑体_GBK"/>
          <w:b w:val="0"/>
          <w:bCs w:val="0"/>
          <w:color w:val="auto"/>
          <w:kern w:val="2"/>
          <w:sz w:val="32"/>
          <w:szCs w:val="32"/>
          <w:lang w:val="en-US" w:eastAsia="zh-CN" w:bidi="ar-SA"/>
        </w:rPr>
        <w:t>四、</w:t>
      </w:r>
      <w:bookmarkEnd w:id="0"/>
      <w:bookmarkEnd w:id="1"/>
      <w:bookmarkEnd w:id="2"/>
      <w:bookmarkEnd w:id="3"/>
      <w:bookmarkEnd w:id="4"/>
      <w:bookmarkEnd w:id="5"/>
      <w:r>
        <w:rPr>
          <w:rFonts w:hint="eastAsia" w:ascii="方正黑体_GBK" w:hAnsi="方正黑体_GBK" w:eastAsia="方正黑体_GBK" w:cs="方正黑体_GBK"/>
          <w:b w:val="0"/>
          <w:bCs w:val="0"/>
          <w:color w:val="auto"/>
          <w:kern w:val="2"/>
          <w:sz w:val="32"/>
          <w:szCs w:val="32"/>
          <w:lang w:val="en-US" w:eastAsia="zh-CN" w:bidi="ar-SA"/>
        </w:rPr>
        <w:t>专业发展与人才培养目标</w:t>
      </w:r>
      <w:bookmarkEnd w:id="6"/>
      <w:bookmarkEnd w:id="7"/>
    </w:p>
    <w:p w14:paraId="1FB8621C">
      <w:pPr>
        <w:pStyle w:val="33"/>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color w:val="auto"/>
          <w:kern w:val="2"/>
          <w:sz w:val="32"/>
          <w:szCs w:val="32"/>
          <w:lang w:val="en-US" w:eastAsia="zh-CN" w:bidi="ar-SA"/>
        </w:rPr>
      </w:pPr>
      <w:bookmarkStart w:id="8" w:name="_Toc305784992"/>
      <w:bookmarkStart w:id="9" w:name="_Toc305785356"/>
      <w:r>
        <w:rPr>
          <w:rFonts w:hint="eastAsia" w:ascii="方正楷体_GBK" w:hAnsi="方正楷体_GBK" w:eastAsia="方正楷体_GBK" w:cs="方正楷体_GBK"/>
          <w:color w:val="auto"/>
          <w:kern w:val="2"/>
          <w:sz w:val="32"/>
          <w:szCs w:val="32"/>
          <w:lang w:val="en-US" w:eastAsia="zh-CN" w:bidi="ar-SA"/>
        </w:rPr>
        <w:t>（一）专业发展目标</w:t>
      </w:r>
      <w:bookmarkEnd w:id="8"/>
      <w:bookmarkEnd w:id="9"/>
    </w:p>
    <w:p w14:paraId="44DB016E">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根据省、市 “十二五”规划，按照学院“立足常州、面向江苏、辐射长三角”的区域定位和专业建设发展布局和要求，依托常州国家高职教育综合改革试验区和常州生物医药产业园的政策、资源等优势，在常州市药监局和常州医药行业协会指导下，完善专业建设的体制和机制；依靠省级生物制药生产性实训基地、省级应用酶工程技术研究开发中心和校外实训基地，搭建产学研合作平台；深化项目化教学改革，转变人才培养方式；实施“双带头人”、“强基”和“结聚”工程，打造优秀教学团队；完善多方参与的第三方人才质量评价制度，保障人才培养质量，将专业建设成为与区域产业深度融合、满足高端技能型人才培养需要，服务生物医药产业发展的国家重点专业，引领化学制药技术、药物制剂技术等相关专业的建设与发展，共同打造成区域医药产业高端技能型专门人才的培养基地。</w:t>
      </w:r>
    </w:p>
    <w:p w14:paraId="2576C3A7">
      <w:pPr>
        <w:pStyle w:val="33"/>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color w:val="auto"/>
          <w:kern w:val="2"/>
          <w:sz w:val="32"/>
          <w:szCs w:val="32"/>
          <w:lang w:val="en-US" w:eastAsia="zh-CN" w:bidi="ar-SA"/>
        </w:rPr>
      </w:pPr>
      <w:bookmarkStart w:id="10" w:name="_Toc305785357"/>
      <w:r>
        <w:rPr>
          <w:rFonts w:hint="eastAsia" w:ascii="方正楷体_GBK" w:hAnsi="方正楷体_GBK" w:eastAsia="方正楷体_GBK" w:cs="方正楷体_GBK"/>
          <w:color w:val="auto"/>
          <w:kern w:val="2"/>
          <w:sz w:val="32"/>
          <w:szCs w:val="32"/>
          <w:lang w:val="en-US" w:eastAsia="zh-CN" w:bidi="ar-SA"/>
        </w:rPr>
        <w:t>（二）专业人才培养目标</w:t>
      </w:r>
      <w:bookmarkEnd w:id="10"/>
    </w:p>
    <w:p w14:paraId="42E22AC9">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本专业面向区域生物制药企业，培养德、智、体、美全面发展，能按《药品生产质量管理规范》要求，在生产一线进行工艺操作、设备维护与保养；能按质量标准进行分析检测和质量监控，并及时解决生产中出现的问题；经三年左右的生产实践，能进行工艺优化和生产管理，具有良好职业道德和职业素养的生物制药高端技能型专门人才。</w:t>
      </w:r>
    </w:p>
    <w:p w14:paraId="5D78684E">
      <w:pPr>
        <w:pStyle w:val="33"/>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color w:val="auto"/>
          <w:kern w:val="2"/>
          <w:sz w:val="32"/>
          <w:szCs w:val="32"/>
          <w:lang w:val="en-US" w:eastAsia="zh-CN" w:bidi="ar-SA"/>
        </w:rPr>
      </w:pPr>
      <w:bookmarkStart w:id="11" w:name="_Toc305785358"/>
      <w:r>
        <w:rPr>
          <w:rFonts w:hint="eastAsia" w:ascii="方正楷体_GBK" w:hAnsi="方正楷体_GBK" w:eastAsia="方正楷体_GBK" w:cs="方正楷体_GBK"/>
          <w:color w:val="auto"/>
          <w:kern w:val="2"/>
          <w:sz w:val="32"/>
          <w:szCs w:val="32"/>
          <w:lang w:val="en-US" w:eastAsia="zh-CN" w:bidi="ar-SA"/>
        </w:rPr>
        <w:t>（三）专业建设思路</w:t>
      </w:r>
      <w:bookmarkEnd w:id="11"/>
    </w:p>
    <w:p w14:paraId="59CE1FE7">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1.以区域产业结构调整和升级对人才需求为目标，在医药行政主管部门和医药行业协会指导下，与地区各级生物医药产业园及有关企业合作组建专业建设理事会，共建生物制药技术专业； </w:t>
      </w:r>
    </w:p>
    <w:p w14:paraId="6A9067E6">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2.搭建产学研合作平台，建立互利共赢的专业发展机制，探索“校中厂”、“厂中校”建设，持续深化校企合作，提升专业服务生物制药产业发展能力；</w:t>
      </w:r>
    </w:p>
    <w:p w14:paraId="156AA42A">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3.充分利用企业优质资源，系统设计理论实践一体化教学体系，深化项目化教学改革，强化实践教学和素质教育，转变人才培养方式； </w:t>
      </w:r>
    </w:p>
    <w:p w14:paraId="740A95BB">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4.实施“双带头人”、“强基工程”和“聚合工程”等师资队伍建设项目，全面提升双师素质，打造优秀教学团队；</w:t>
      </w:r>
    </w:p>
    <w:p w14:paraId="462ECD41">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5.建立多方共同参与的第三方人才质量评价制度，实施人才培养的全面质量管理，保障人才培养质量；</w:t>
      </w:r>
    </w:p>
    <w:p w14:paraId="1789465B">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6.探索“一贯制、对口升学、直通制”的衔接模式，实现“培养目标、课程内容、教学模式、职业资格证书”的衔接，促进生物制药中高职教育协调发展；</w:t>
      </w:r>
    </w:p>
    <w:p w14:paraId="75852449">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7.以生物制药技术专业建设为抓手，带动生物技术及应用、化学制药技术、药物制剂技术、药品质量检测技术等相关专业建设。</w:t>
      </w:r>
    </w:p>
    <w:p w14:paraId="5DB300F0">
      <w:pPr>
        <w:pStyle w:val="2"/>
        <w:pageBreakBefore w:val="0"/>
        <w:widowControl w:val="0"/>
        <w:kinsoku/>
        <w:wordWrap/>
        <w:overflowPunct/>
        <w:topLinePunct w:val="0"/>
        <w:autoSpaceDE/>
        <w:autoSpaceDN/>
        <w:bidi w:val="0"/>
        <w:spacing w:line="560" w:lineRule="exact"/>
        <w:ind w:firstLine="640" w:firstLineChars="200"/>
        <w:textAlignment w:val="auto"/>
        <w:rPr>
          <w:rFonts w:hint="eastAsia" w:ascii="方正黑体_GBK" w:hAnsi="方正黑体_GBK" w:eastAsia="方正黑体_GBK" w:cs="方正黑体_GBK"/>
          <w:b w:val="0"/>
          <w:bCs w:val="0"/>
          <w:color w:val="auto"/>
          <w:kern w:val="2"/>
          <w:sz w:val="32"/>
          <w:szCs w:val="32"/>
          <w:lang w:val="en-US" w:eastAsia="zh-CN" w:bidi="ar-SA"/>
        </w:rPr>
      </w:pPr>
      <w:bookmarkStart w:id="12" w:name="_Toc268443634"/>
      <w:bookmarkStart w:id="13" w:name="_Toc268486890"/>
      <w:bookmarkStart w:id="14" w:name="_Toc268505074"/>
      <w:bookmarkStart w:id="15" w:name="_Toc268499856"/>
      <w:bookmarkStart w:id="16" w:name="_Toc268507572"/>
      <w:bookmarkStart w:id="17" w:name="_Toc268505339"/>
      <w:bookmarkStart w:id="18" w:name="_Toc305785359"/>
      <w:r>
        <w:rPr>
          <w:rFonts w:hint="eastAsia" w:ascii="方正黑体_GBK" w:hAnsi="方正黑体_GBK" w:eastAsia="方正黑体_GBK" w:cs="方正黑体_GBK"/>
          <w:b w:val="0"/>
          <w:bCs w:val="0"/>
          <w:color w:val="auto"/>
          <w:kern w:val="2"/>
          <w:sz w:val="32"/>
          <w:szCs w:val="32"/>
          <w:lang w:val="en-US" w:eastAsia="zh-CN" w:bidi="ar-SA"/>
        </w:rPr>
        <w:t>五、专业建设内容</w:t>
      </w:r>
      <w:bookmarkEnd w:id="12"/>
      <w:bookmarkEnd w:id="13"/>
      <w:bookmarkEnd w:id="14"/>
      <w:bookmarkEnd w:id="15"/>
      <w:bookmarkEnd w:id="16"/>
      <w:bookmarkEnd w:id="17"/>
      <w:bookmarkEnd w:id="18"/>
    </w:p>
    <w:p w14:paraId="25F5C7E7">
      <w:pPr>
        <w:pStyle w:val="33"/>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color w:val="auto"/>
          <w:kern w:val="2"/>
          <w:sz w:val="32"/>
          <w:szCs w:val="32"/>
          <w:lang w:val="en-US" w:eastAsia="zh-CN" w:bidi="ar-SA"/>
        </w:rPr>
      </w:pPr>
      <w:bookmarkStart w:id="19" w:name="_Toc305785360"/>
      <w:r>
        <w:rPr>
          <w:rFonts w:hint="eastAsia" w:ascii="方正楷体_GBK" w:hAnsi="方正楷体_GBK" w:eastAsia="方正楷体_GBK" w:cs="方正楷体_GBK"/>
          <w:color w:val="auto"/>
          <w:kern w:val="2"/>
          <w:sz w:val="32"/>
          <w:szCs w:val="32"/>
          <w:lang w:val="en-US" w:eastAsia="zh-CN" w:bidi="ar-SA"/>
        </w:rPr>
        <w:t>（一）完善专业建设理事会工作机制</w:t>
      </w:r>
      <w:bookmarkEnd w:id="19"/>
      <w:bookmarkStart w:id="20" w:name="_Toc268486892"/>
    </w:p>
    <w:p w14:paraId="5C93D8AD">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专业双带头人  负责制定专业发展规划、专业建设年度计划和师资培训年度计划，制（修）订人才培养方案，监督管理项目化教学，建设产学研合作平台，组建课程开发、教育教学研究、科研开发团队，参与人才质量评价。</w:t>
      </w:r>
    </w:p>
    <w:p w14:paraId="329B0437">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骨干教师和企业技术骨干  结对共聚参加培训与实践，参与产学研平台建设，进行课程开发、项目化教学、教育教学研究、科研项目开发和课题申报等工作，同时指导学生进行创新创业实践。</w:t>
      </w:r>
    </w:p>
    <w:bookmarkEnd w:id="20"/>
    <w:p w14:paraId="73332195">
      <w:pPr>
        <w:pStyle w:val="33"/>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color w:val="auto"/>
          <w:kern w:val="2"/>
          <w:sz w:val="32"/>
          <w:szCs w:val="32"/>
          <w:lang w:val="en-US" w:eastAsia="zh-CN" w:bidi="ar-SA"/>
        </w:rPr>
      </w:pPr>
      <w:bookmarkStart w:id="21" w:name="_Toc305785361"/>
      <w:r>
        <w:rPr>
          <w:rFonts w:hint="eastAsia" w:ascii="方正楷体_GBK" w:hAnsi="方正楷体_GBK" w:eastAsia="方正楷体_GBK" w:cs="方正楷体_GBK"/>
          <w:color w:val="auto"/>
          <w:kern w:val="2"/>
          <w:sz w:val="32"/>
          <w:szCs w:val="32"/>
          <w:lang w:val="en-US" w:eastAsia="zh-CN" w:bidi="ar-SA"/>
        </w:rPr>
        <w:t>（二）搭建产学研合作平台，提升企业参与度，深化校企合作</w:t>
      </w:r>
      <w:bookmarkEnd w:id="21"/>
    </w:p>
    <w:p w14:paraId="4E831499">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在“三重螺旋”理论（学校-企业-政府合作）指导下，以省级生物制药生产性实训基地、江苏省应用酶工程技术研究开发中心、常州市应用酶工程重点实验室和校外实训基地为主要支撑点，通过人才培养培训、实习就业、项目申报、共同研发等方式，夯实校企合作基础，探索“校中厂”和“厂中校”的建设，形成“教学促进产研，科研加速产教，产业发展又反哺教研”校企互动共赢的生物制药产学研合作平台。</w:t>
      </w:r>
    </w:p>
    <w:p w14:paraId="5405DAB0">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1.生物制药生产性实训基地建设</w:t>
      </w:r>
    </w:p>
    <w:p w14:paraId="56BC15BF">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中试生产性车间  按GMP规范要求，与张家港华昌制药有限公司共建一个生物药物中试生产性车间。学院完成水电等基础配套工程建设；华昌制药提供价值100万元左右的生产性设备，并委派人员进行车间规划、设计、施工以及设施设备的选型、安装和调试；车间全面引入企业文化和管理模式，制定《中试生产性车间管理办法》，编制标准操作规程（SOP）、生产记录等生产格式文件，探索“校中厂”建设。建设期内，开展生物制药综合实训项目和顶岗实习的教学活动，进行L-丝氨酸酶法生产、半胱氨酸脱巯基酶工程菌全细胞合成L-半胱氨酸等合作项目的中试放大试验，并作为《生物制药综合实训项目》课程的教学项目，完成400人次员工培训。</w:t>
      </w:r>
    </w:p>
    <w:p w14:paraId="54AB572B">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专业技术实训室  建设期内，新建液体制剂实训室，添置发酵设备和分析测试仪器；借鉴校外实训基地生产车间管理，营造职业氛围，完善《实训室管理办法》和《项目化教学管理规范》，编写专业课程教学项目的生产工艺流程、标准操作规程和生产记录等项目化教学指导性文件。至2013年，各实训室能满足所有专业课程进行项目化教学需要。同时，实施实训室开放制度，保证学生自主项目、创新项目的顺利进行，指导学生技能大赛训练60人次。</w:t>
      </w:r>
    </w:p>
    <w:p w14:paraId="20B54B50">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2.应用酶工程研发中心、重点实验室建设</w:t>
      </w:r>
    </w:p>
    <w:p w14:paraId="2A3E2B41">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应用酶工程及相关生物技术，开展生物活性物质的酶法合成和发酵制备研究，积极引导中青年骨干教师主持、参与产品开发，努力提高教师的科研能力、职教能力和社会服务能力。建设期内，与企业合作开发1~2个新产品，申请专利2件，项目到账经费30万元。同时，开展大学生创新实践项目10项。</w:t>
      </w:r>
    </w:p>
    <w:p w14:paraId="2BDE8015">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3.校外实训基地建设</w:t>
      </w:r>
    </w:p>
    <w:p w14:paraId="49EDEF28">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建设期内，进一步完善《校外实训基地建设办法》和《教师工作站建立办法》，建成战略型校外实训基地2个，新增5个紧密型校外实训基地，在常州生物医药产业园和校外实训基地内建立教师工作站1~2个，进一步完善《专业教师下厂实践管理办法》和《学生顶岗实习管理办法》等制度，保证专业教师下厂实践、学生顶岗实习等活动规范、顺利地开展，积极探索“厂中校”建设。</w:t>
      </w:r>
    </w:p>
    <w:p w14:paraId="0AB52FC5">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4．“教学促进产研，科研加速产教，产业发展又反哺教研”机制的形成</w:t>
      </w:r>
    </w:p>
    <w:p w14:paraId="4C7E4F66">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以学校与企业发展的共同愿望为基础，以人才、技术、效益为结合点，以充分发挥各自优势为条件，遵循市场经济规律、教育教学规律，以“产”为目的、以“学”为基础、以“研”为推动，逐步形成“教学促进产研，科研加速产教，产业发展又反哺教研”校企互动共赢的发展机制。</w:t>
      </w:r>
    </w:p>
    <w:p w14:paraId="7F663E67">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教学促进产研  面向在校生、毕业生、企业员工、农村转移劳动力，开展职业资格、专业技术、岗位技能等不同方面不同等级的教育和培训，为企业的可持续发展输送符合要求的人才。</w:t>
      </w:r>
    </w:p>
    <w:p w14:paraId="6CFFFE82">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科研加速产教  根据企业技术发展的需要，通过委托开发、共同开发、成果与技术转让等各种形式为企业提供产品和技术支持；积极指导学生参与平台内的研发项目或在平台内完成大学生创新训练项目，教师有意识地将研发项目带入到专业实践教学中，实现教学与研发的统一，激发学生的求知欲望，提高学生的学习能力和创新能力。</w:t>
      </w:r>
    </w:p>
    <w:p w14:paraId="27656075">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产业发展反哺教研  骨干教师和企业技术骨干依据企业岗位要求和职业资格标准，组织课程教学内容并重构；精心选取来自于平台内的研发项目、企业委托项目及合作企业的真实产品加工成教学项目，将职业道德、职业素养、职业能力和创新意识等有机渗透到各个项目中；以平台为保障条件，实施项目化教学；为专业带头人、中青年骨干教师、普通专业教师进行项目研发、课题申报、成果转让、技术服务、实践教学提供技术、设备和资金支持。 </w:t>
      </w:r>
    </w:p>
    <w:p w14:paraId="536440AD">
      <w:pPr>
        <w:pStyle w:val="33"/>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color w:val="auto"/>
          <w:kern w:val="2"/>
          <w:sz w:val="32"/>
          <w:szCs w:val="32"/>
          <w:lang w:val="en-US" w:eastAsia="zh-CN" w:bidi="ar-SA"/>
        </w:rPr>
      </w:pPr>
      <w:bookmarkStart w:id="22" w:name="_Toc305785362"/>
      <w:r>
        <w:rPr>
          <w:rFonts w:hint="eastAsia" w:ascii="方正楷体_GBK" w:hAnsi="方正楷体_GBK" w:eastAsia="方正楷体_GBK" w:cs="方正楷体_GBK"/>
          <w:color w:val="auto"/>
          <w:kern w:val="2"/>
          <w:sz w:val="32"/>
          <w:szCs w:val="32"/>
          <w:lang w:val="en-US" w:eastAsia="zh-CN" w:bidi="ar-SA"/>
        </w:rPr>
        <w:t>（三）充分利用企业资源，深化项目化教学改革，创新人才培养模式</w:t>
      </w:r>
      <w:bookmarkEnd w:id="22"/>
    </w:p>
    <w:p w14:paraId="0EA36A52">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bookmarkStart w:id="23" w:name="_Toc268486894"/>
      <w:r>
        <w:rPr>
          <w:rFonts w:hint="eastAsia" w:ascii="仿宋" w:hAnsi="仿宋" w:eastAsia="仿宋" w:cs="仿宋"/>
          <w:b w:val="0"/>
          <w:bCs w:val="0"/>
          <w:color w:val="auto"/>
          <w:kern w:val="2"/>
          <w:sz w:val="32"/>
          <w:szCs w:val="32"/>
          <w:lang w:val="en-US" w:eastAsia="zh-CN" w:bidi="ar-SA"/>
        </w:rPr>
        <w:t>利用常州国家高职教育综合改革试验区和生物医药产业园的政策，在专业建设理事会指导下，依托生物制药产学研合作平台，充分整合人、财、物等方面的优质资源，对接发酵工、生化药品提取工、制剂工、药品分析检验工等职业标准和生物制药生产技术人才要求，优化生物制药技术专业人才培养规格，构建专业理论实践一体化教学体系，深化项目化教学改革，建立专业群共享的数字化教学资源库，推进素质教育和创业创新教育，形成特色鲜明的人才培养模式。</w:t>
      </w:r>
    </w:p>
    <w:p w14:paraId="389066DC">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1.深化“三结合、三平台、三阶段”的工学结合人才培养模式</w:t>
      </w:r>
    </w:p>
    <w:p w14:paraId="72C0F3AD">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依托本地区各级生物医药产业园和生物医药企业，推进与完善“以素质和职业整体行动能力培养为主线，实现课内与课外、理论与实践、教学与创新三结合，构建基本素质、职业能力与素质、创新创业教育三个平台，实施生产岗位操作训练、生产性综合项目、顶岗实习三阶段工学交替的“三结合、三平台、三阶段”专业人才培养模式（图1）。</w:t>
      </w:r>
    </w:p>
    <w:p w14:paraId="41B09EFD">
      <w:pPr>
        <w:pageBreakBefore w:val="0"/>
        <w:widowControl w:val="0"/>
        <w:kinsoku/>
        <w:wordWrap/>
        <w:overflowPunct/>
        <w:topLinePunct w:val="0"/>
        <w:autoSpaceDE/>
        <w:autoSpaceDN/>
        <w:bidi w:val="0"/>
        <w:adjustRightInd w:val="0"/>
        <w:snapToGrid w:val="0"/>
        <w:spacing w:line="240" w:lineRule="auto"/>
        <w:ind w:firstLine="640" w:firstLineChars="200"/>
        <w:jc w:val="center"/>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drawing>
          <wp:inline distT="0" distB="0" distL="0" distR="0">
            <wp:extent cx="3155315" cy="2230755"/>
            <wp:effectExtent l="19050" t="0" r="6985" b="0"/>
            <wp:docPr id="1" name="图片 1" descr="人才培养模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人才培养模式"/>
                    <pic:cNvPicPr>
                      <a:picLocks noChangeAspect="1" noChangeArrowheads="1"/>
                    </pic:cNvPicPr>
                  </pic:nvPicPr>
                  <pic:blipFill>
                    <a:blip r:embed="rId6"/>
                    <a:srcRect/>
                    <a:stretch>
                      <a:fillRect/>
                    </a:stretch>
                  </pic:blipFill>
                  <pic:spPr>
                    <a:xfrm>
                      <a:off x="0" y="0"/>
                      <a:ext cx="3155315" cy="2230755"/>
                    </a:xfrm>
                    <a:prstGeom prst="rect">
                      <a:avLst/>
                    </a:prstGeom>
                    <a:noFill/>
                    <a:ln w="9525">
                      <a:noFill/>
                      <a:miter lim="800000"/>
                      <a:headEnd/>
                      <a:tailEnd/>
                    </a:ln>
                  </pic:spPr>
                </pic:pic>
              </a:graphicData>
            </a:graphic>
          </wp:inline>
        </w:drawing>
      </w:r>
    </w:p>
    <w:p w14:paraId="0F1E1FD6">
      <w:pPr>
        <w:pageBreakBefore w:val="0"/>
        <w:widowControl w:val="0"/>
        <w:kinsoku/>
        <w:wordWrap/>
        <w:overflowPunct/>
        <w:topLinePunct w:val="0"/>
        <w:autoSpaceDE/>
        <w:autoSpaceDN/>
        <w:bidi w:val="0"/>
        <w:adjustRightInd w:val="0"/>
        <w:snapToGrid w:val="0"/>
        <w:spacing w:line="560" w:lineRule="exact"/>
        <w:ind w:firstLine="560" w:firstLineChars="20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图1  生物制药技术专业人才培养模式</w:t>
      </w:r>
    </w:p>
    <w:p w14:paraId="560F0E9D">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本模式以营造“校园物质环境、精神环境、创业教育环境、良好人际关系”为育人环境，熏陶和培育学生社会主义核心价值观和健康人格。</w:t>
      </w:r>
    </w:p>
    <w:p w14:paraId="4DAA263C">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以职业危害与灾害防护教育基地为支撑，对学生进行职业危害和灾害防护教育与技能训练，使学生掌握防灾知识，提高防灾能力和对职业危害防护的基本技能。</w:t>
      </w:r>
    </w:p>
    <w:p w14:paraId="65C12F13">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以具有真实职业氛围、开放式的产学院合作平台为依托，将社会主义核心价值观与职业道德、职业精神和行为规范相结合，建立具有本专业特征的核心价值观，以进人才培养方案、进教学大纲、进第一课堂“三进”方式，融入人才培养全过程，培养学生自信、责任、阳光的心态和良好的学习习惯。</w:t>
      </w:r>
    </w:p>
    <w:p w14:paraId="1F431044">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构建的基本素质、职业能力与素质、创新创业教育三个平台，支撑着实现“课内与课外、理论与实践、教学与创新”相结合的基础课程、工作过程系统化课程、学科理论拓展课程、开放式课程四个系统教学（见图2），实施第2、4、6学期的生产岗位操作训练、生产性综合项目、顶岗实习三个阶段工学交替的生产性实践训练。</w:t>
      </w:r>
    </w:p>
    <w:p w14:paraId="2BEB0F8E">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本模式的课程设置灵活弹性，可针对生物医药领域新技术对一线人才的需求，采用企业定制课程与学院课程学分互换的方式，以订单式、“2＋1”、工学交替等形式实施人才培养。</w:t>
      </w:r>
    </w:p>
    <w:p w14:paraId="6E637400">
      <w:pPr>
        <w:pageBreakBefore w:val="0"/>
        <w:widowControl w:val="0"/>
        <w:kinsoku/>
        <w:wordWrap/>
        <w:overflowPunct/>
        <w:topLinePunct w:val="0"/>
        <w:autoSpaceDE/>
        <w:autoSpaceDN/>
        <w:bidi w:val="0"/>
        <w:adjustRightInd w:val="0"/>
        <w:snapToGrid w:val="0"/>
        <w:spacing w:line="240" w:lineRule="auto"/>
        <w:ind w:firstLine="640" w:firstLineChars="200"/>
        <w:jc w:val="center"/>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drawing>
          <wp:inline distT="0" distB="0" distL="0" distR="0">
            <wp:extent cx="4049395" cy="2813685"/>
            <wp:effectExtent l="0" t="0" r="8255" b="5715"/>
            <wp:docPr id="2" name="图片 2" descr="总课程体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总课程体系"/>
                    <pic:cNvPicPr>
                      <a:picLocks noChangeAspect="1" noChangeArrowheads="1"/>
                    </pic:cNvPicPr>
                  </pic:nvPicPr>
                  <pic:blipFill>
                    <a:blip r:embed="rId7"/>
                    <a:srcRect/>
                    <a:stretch>
                      <a:fillRect/>
                    </a:stretch>
                  </pic:blipFill>
                  <pic:spPr>
                    <a:xfrm>
                      <a:off x="0" y="0"/>
                      <a:ext cx="4049395" cy="2813685"/>
                    </a:xfrm>
                    <a:prstGeom prst="rect">
                      <a:avLst/>
                    </a:prstGeom>
                    <a:noFill/>
                    <a:ln w="9525">
                      <a:noFill/>
                      <a:miter lim="800000"/>
                      <a:headEnd/>
                      <a:tailEnd/>
                    </a:ln>
                  </pic:spPr>
                </pic:pic>
              </a:graphicData>
            </a:graphic>
          </wp:inline>
        </w:drawing>
      </w:r>
    </w:p>
    <w:p w14:paraId="7EEA3924">
      <w:pPr>
        <w:pageBreakBefore w:val="0"/>
        <w:widowControl w:val="0"/>
        <w:kinsoku/>
        <w:wordWrap/>
        <w:overflowPunct/>
        <w:topLinePunct w:val="0"/>
        <w:autoSpaceDE/>
        <w:autoSpaceDN/>
        <w:bidi w:val="0"/>
        <w:adjustRightInd w:val="0"/>
        <w:snapToGrid w:val="0"/>
        <w:spacing w:line="560" w:lineRule="exact"/>
        <w:ind w:firstLine="560" w:firstLineChars="20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图2 人才培养模式中四个课程系统分布图</w:t>
      </w:r>
    </w:p>
    <w:p w14:paraId="021F7B16">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2.优化理论实践一体化的课程体系</w:t>
      </w:r>
    </w:p>
    <w:p w14:paraId="6152C09D">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围绕专业人才培养目标，设计从“职业成长阶段→职业典型任务→职业行动领域→学习领域”的课程开发步骤，在充分调研的基础上，专业双带头人组织召开实践专家座谈会，分析本专业“工作岗位的工作行为”、“典型工作任务”、“职业成长阶段”、“行动领域”，与课程专家共同研讨，获得基于职业成长规律与认知规律相结合的理论实践一体化的专业课程体系（表3）。</w:t>
      </w:r>
    </w:p>
    <w:p w14:paraId="5B63E4C4">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表3  生物制药技术专业课程体系</w:t>
      </w:r>
    </w:p>
    <w:tbl>
      <w:tblPr>
        <w:tblStyle w:val="18"/>
        <w:tblW w:w="884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3"/>
        <w:gridCol w:w="2809"/>
        <w:gridCol w:w="2263"/>
        <w:gridCol w:w="2542"/>
      </w:tblGrid>
      <w:tr w14:paraId="50C3BC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33" w:type="dxa"/>
            <w:shd w:val="clear" w:color="auto" w:fill="auto"/>
            <w:vAlign w:val="center"/>
          </w:tcPr>
          <w:p w14:paraId="41F4485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职业成</w:t>
            </w:r>
          </w:p>
          <w:p w14:paraId="6964CA0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长阶段</w:t>
            </w:r>
          </w:p>
        </w:tc>
        <w:tc>
          <w:tcPr>
            <w:tcW w:w="2809" w:type="dxa"/>
            <w:shd w:val="clear" w:color="auto" w:fill="auto"/>
            <w:vAlign w:val="center"/>
          </w:tcPr>
          <w:p w14:paraId="5C4ED3A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典型工作任务</w:t>
            </w:r>
          </w:p>
        </w:tc>
        <w:tc>
          <w:tcPr>
            <w:tcW w:w="2263" w:type="dxa"/>
            <w:vAlign w:val="center"/>
          </w:tcPr>
          <w:p w14:paraId="245340A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职业行动领域</w:t>
            </w:r>
          </w:p>
        </w:tc>
        <w:tc>
          <w:tcPr>
            <w:tcW w:w="2542" w:type="dxa"/>
            <w:shd w:val="clear" w:color="auto" w:fill="auto"/>
            <w:vAlign w:val="center"/>
          </w:tcPr>
          <w:p w14:paraId="0BA3948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学习领域</w:t>
            </w:r>
          </w:p>
          <w:p w14:paraId="156DC55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（专业课程体系）</w:t>
            </w:r>
          </w:p>
        </w:tc>
      </w:tr>
      <w:tr w14:paraId="730472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233" w:type="dxa"/>
            <w:vMerge w:val="restart"/>
            <w:shd w:val="clear" w:color="auto" w:fill="auto"/>
            <w:vAlign w:val="center"/>
          </w:tcPr>
          <w:p w14:paraId="5C6062B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新手--合格工人</w:t>
            </w:r>
          </w:p>
        </w:tc>
        <w:tc>
          <w:tcPr>
            <w:tcW w:w="2809" w:type="dxa"/>
            <w:shd w:val="clear" w:color="auto" w:fill="auto"/>
            <w:vAlign w:val="center"/>
          </w:tcPr>
          <w:p w14:paraId="4524FB1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GMP规范执行</w:t>
            </w:r>
          </w:p>
          <w:p w14:paraId="5DB9193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发酵、分离纯化、制剂岗位操作</w:t>
            </w:r>
          </w:p>
        </w:tc>
        <w:tc>
          <w:tcPr>
            <w:tcW w:w="2263" w:type="dxa"/>
            <w:vAlign w:val="center"/>
          </w:tcPr>
          <w:p w14:paraId="330FFBA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职前培训</w:t>
            </w:r>
          </w:p>
        </w:tc>
        <w:tc>
          <w:tcPr>
            <w:tcW w:w="2542" w:type="dxa"/>
            <w:shd w:val="clear" w:color="auto" w:fill="auto"/>
            <w:vAlign w:val="center"/>
          </w:tcPr>
          <w:p w14:paraId="5A42CF6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生物医药职业工作概貌</w:t>
            </w:r>
          </w:p>
        </w:tc>
      </w:tr>
      <w:tr w14:paraId="1243F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 w:hRule="atLeast"/>
          <w:jc w:val="center"/>
        </w:trPr>
        <w:tc>
          <w:tcPr>
            <w:tcW w:w="1233" w:type="dxa"/>
            <w:vMerge w:val="continue"/>
            <w:shd w:val="clear" w:color="auto" w:fill="auto"/>
            <w:vAlign w:val="center"/>
          </w:tcPr>
          <w:p w14:paraId="5830F60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p>
        </w:tc>
        <w:tc>
          <w:tcPr>
            <w:tcW w:w="2809" w:type="dxa"/>
            <w:shd w:val="clear" w:color="auto" w:fill="auto"/>
            <w:vAlign w:val="center"/>
          </w:tcPr>
          <w:p w14:paraId="78FC68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分离纯化岗位操作</w:t>
            </w:r>
          </w:p>
        </w:tc>
        <w:tc>
          <w:tcPr>
            <w:tcW w:w="2263" w:type="dxa"/>
            <w:vAlign w:val="center"/>
          </w:tcPr>
          <w:p w14:paraId="254E02A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生化药物生产操作</w:t>
            </w:r>
          </w:p>
        </w:tc>
        <w:tc>
          <w:tcPr>
            <w:tcW w:w="2542" w:type="dxa"/>
            <w:shd w:val="clear" w:color="auto" w:fill="auto"/>
            <w:vAlign w:val="center"/>
          </w:tcPr>
          <w:p w14:paraId="229E4D5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生化药物生产</w:t>
            </w:r>
          </w:p>
        </w:tc>
      </w:tr>
      <w:tr w14:paraId="1CE56E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233" w:type="dxa"/>
            <w:vMerge w:val="continue"/>
            <w:shd w:val="clear" w:color="auto" w:fill="auto"/>
            <w:vAlign w:val="center"/>
          </w:tcPr>
          <w:p w14:paraId="141398D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p>
        </w:tc>
        <w:tc>
          <w:tcPr>
            <w:tcW w:w="2809" w:type="dxa"/>
            <w:shd w:val="clear" w:color="auto" w:fill="auto"/>
            <w:vAlign w:val="center"/>
          </w:tcPr>
          <w:p w14:paraId="0793268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发酵岗位操作</w:t>
            </w:r>
          </w:p>
        </w:tc>
        <w:tc>
          <w:tcPr>
            <w:tcW w:w="2263" w:type="dxa"/>
            <w:vAlign w:val="center"/>
          </w:tcPr>
          <w:p w14:paraId="3329E64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微生物药物生产操作</w:t>
            </w:r>
          </w:p>
        </w:tc>
        <w:tc>
          <w:tcPr>
            <w:tcW w:w="2542" w:type="dxa"/>
            <w:shd w:val="clear" w:color="auto" w:fill="auto"/>
            <w:vAlign w:val="center"/>
          </w:tcPr>
          <w:p w14:paraId="3D034D7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微生物药物生产</w:t>
            </w:r>
          </w:p>
        </w:tc>
      </w:tr>
      <w:tr w14:paraId="582DC5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 w:hRule="atLeast"/>
          <w:jc w:val="center"/>
        </w:trPr>
        <w:tc>
          <w:tcPr>
            <w:tcW w:w="1233" w:type="dxa"/>
            <w:vMerge w:val="continue"/>
            <w:shd w:val="clear" w:color="auto" w:fill="auto"/>
            <w:vAlign w:val="center"/>
          </w:tcPr>
          <w:p w14:paraId="74B35BD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p>
        </w:tc>
        <w:tc>
          <w:tcPr>
            <w:tcW w:w="2809" w:type="dxa"/>
            <w:shd w:val="clear" w:color="auto" w:fill="auto"/>
            <w:vAlign w:val="center"/>
          </w:tcPr>
          <w:p w14:paraId="4E33745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制药设备操作、维护</w:t>
            </w:r>
          </w:p>
        </w:tc>
        <w:tc>
          <w:tcPr>
            <w:tcW w:w="2263" w:type="dxa"/>
            <w:vAlign w:val="center"/>
          </w:tcPr>
          <w:p w14:paraId="1C65604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制药设备的运行与维护</w:t>
            </w:r>
          </w:p>
        </w:tc>
        <w:tc>
          <w:tcPr>
            <w:tcW w:w="2542" w:type="dxa"/>
            <w:shd w:val="clear" w:color="auto" w:fill="auto"/>
            <w:vAlign w:val="center"/>
          </w:tcPr>
          <w:p w14:paraId="44223D9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制药设备运行与维护</w:t>
            </w:r>
          </w:p>
        </w:tc>
      </w:tr>
      <w:tr w14:paraId="175594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0" w:hRule="atLeast"/>
          <w:jc w:val="center"/>
        </w:trPr>
        <w:tc>
          <w:tcPr>
            <w:tcW w:w="1233" w:type="dxa"/>
            <w:vMerge w:val="continue"/>
            <w:shd w:val="clear" w:color="auto" w:fill="auto"/>
            <w:vAlign w:val="center"/>
          </w:tcPr>
          <w:p w14:paraId="5F3631A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p>
        </w:tc>
        <w:tc>
          <w:tcPr>
            <w:tcW w:w="2809" w:type="dxa"/>
            <w:shd w:val="clear" w:color="auto" w:fill="auto"/>
            <w:vAlign w:val="center"/>
          </w:tcPr>
          <w:p w14:paraId="6B5C1A7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微生物指标、生化指标、理化指标分析检测</w:t>
            </w:r>
          </w:p>
        </w:tc>
        <w:tc>
          <w:tcPr>
            <w:tcW w:w="2263" w:type="dxa"/>
            <w:vAlign w:val="center"/>
          </w:tcPr>
          <w:p w14:paraId="12234C0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生物药物质量检验</w:t>
            </w:r>
          </w:p>
        </w:tc>
        <w:tc>
          <w:tcPr>
            <w:tcW w:w="2542" w:type="dxa"/>
            <w:shd w:val="clear" w:color="auto" w:fill="auto"/>
            <w:vAlign w:val="center"/>
          </w:tcPr>
          <w:p w14:paraId="4915F76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生物药物质量检验</w:t>
            </w:r>
          </w:p>
        </w:tc>
      </w:tr>
      <w:tr w14:paraId="46D63E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233" w:type="dxa"/>
            <w:vMerge w:val="restart"/>
            <w:shd w:val="clear" w:color="auto" w:fill="auto"/>
            <w:vAlign w:val="center"/>
          </w:tcPr>
          <w:p w14:paraId="5DD87C2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合格工人—操作骨干</w:t>
            </w:r>
          </w:p>
        </w:tc>
        <w:tc>
          <w:tcPr>
            <w:tcW w:w="2809" w:type="dxa"/>
            <w:shd w:val="clear" w:color="auto" w:fill="auto"/>
            <w:vAlign w:val="center"/>
          </w:tcPr>
          <w:p w14:paraId="590916E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工程菌构建、微生物培养岗位、发酵、分离纯化岗位操作</w:t>
            </w:r>
          </w:p>
        </w:tc>
        <w:tc>
          <w:tcPr>
            <w:tcW w:w="2263" w:type="dxa"/>
            <w:vAlign w:val="center"/>
          </w:tcPr>
          <w:p w14:paraId="5FB0E0E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生物技术药物生产操作</w:t>
            </w:r>
          </w:p>
        </w:tc>
        <w:tc>
          <w:tcPr>
            <w:tcW w:w="2542" w:type="dxa"/>
            <w:shd w:val="clear" w:color="auto" w:fill="auto"/>
            <w:vAlign w:val="center"/>
          </w:tcPr>
          <w:p w14:paraId="2ABE7EC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生物技术药物生产</w:t>
            </w:r>
          </w:p>
        </w:tc>
      </w:tr>
      <w:tr w14:paraId="09CBD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33" w:type="dxa"/>
            <w:vMerge w:val="continue"/>
            <w:shd w:val="clear" w:color="auto" w:fill="auto"/>
            <w:vAlign w:val="center"/>
          </w:tcPr>
          <w:p w14:paraId="78E4DAA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p>
        </w:tc>
        <w:tc>
          <w:tcPr>
            <w:tcW w:w="2809" w:type="dxa"/>
            <w:shd w:val="clear" w:color="auto" w:fill="auto"/>
            <w:vAlign w:val="center"/>
          </w:tcPr>
          <w:p w14:paraId="769BAAD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微生物培养岗位、发酵、分离纯化和酶促转化岗位操作</w:t>
            </w:r>
          </w:p>
        </w:tc>
        <w:tc>
          <w:tcPr>
            <w:tcW w:w="2263" w:type="dxa"/>
            <w:vAlign w:val="center"/>
          </w:tcPr>
          <w:p w14:paraId="73BC453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酶工程药物生产操作</w:t>
            </w:r>
          </w:p>
        </w:tc>
        <w:tc>
          <w:tcPr>
            <w:tcW w:w="2542" w:type="dxa"/>
            <w:shd w:val="clear" w:color="auto" w:fill="auto"/>
            <w:vAlign w:val="center"/>
          </w:tcPr>
          <w:p w14:paraId="20914EB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酶工程制药</w:t>
            </w:r>
          </w:p>
        </w:tc>
      </w:tr>
      <w:tr w14:paraId="0EB8E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1" w:hRule="atLeast"/>
          <w:jc w:val="center"/>
        </w:trPr>
        <w:tc>
          <w:tcPr>
            <w:tcW w:w="1233" w:type="dxa"/>
            <w:vMerge w:val="continue"/>
            <w:shd w:val="clear" w:color="auto" w:fill="auto"/>
            <w:vAlign w:val="center"/>
          </w:tcPr>
          <w:p w14:paraId="5CAE5D9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p>
        </w:tc>
        <w:tc>
          <w:tcPr>
            <w:tcW w:w="2809" w:type="dxa"/>
            <w:shd w:val="clear" w:color="auto" w:fill="auto"/>
            <w:vAlign w:val="center"/>
          </w:tcPr>
          <w:p w14:paraId="20861F1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配液、除菌、灌封、制粒、压片等岗位操作</w:t>
            </w:r>
          </w:p>
        </w:tc>
        <w:tc>
          <w:tcPr>
            <w:tcW w:w="2263" w:type="dxa"/>
            <w:vAlign w:val="center"/>
          </w:tcPr>
          <w:p w14:paraId="015370A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制剂生产操作</w:t>
            </w:r>
          </w:p>
        </w:tc>
        <w:tc>
          <w:tcPr>
            <w:tcW w:w="2542" w:type="dxa"/>
            <w:shd w:val="clear" w:color="auto" w:fill="auto"/>
            <w:vAlign w:val="center"/>
          </w:tcPr>
          <w:p w14:paraId="29AA0E3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生物药物制剂生产</w:t>
            </w:r>
          </w:p>
        </w:tc>
      </w:tr>
      <w:tr w14:paraId="77FE9B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5" w:hRule="atLeast"/>
          <w:jc w:val="center"/>
        </w:trPr>
        <w:tc>
          <w:tcPr>
            <w:tcW w:w="1233" w:type="dxa"/>
            <w:vMerge w:val="restart"/>
            <w:shd w:val="clear" w:color="auto" w:fill="auto"/>
            <w:vAlign w:val="center"/>
          </w:tcPr>
          <w:p w14:paraId="4D4C19E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操作骨干—车间技术员</w:t>
            </w:r>
          </w:p>
        </w:tc>
        <w:tc>
          <w:tcPr>
            <w:tcW w:w="2809" w:type="dxa"/>
            <w:shd w:val="clear" w:color="auto" w:fill="auto"/>
            <w:vAlign w:val="center"/>
          </w:tcPr>
          <w:p w14:paraId="7185D17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生产工艺放大、优化</w:t>
            </w:r>
          </w:p>
        </w:tc>
        <w:tc>
          <w:tcPr>
            <w:tcW w:w="2263" w:type="dxa"/>
            <w:vAlign w:val="center"/>
          </w:tcPr>
          <w:p w14:paraId="16E4345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生产工艺管理</w:t>
            </w:r>
          </w:p>
        </w:tc>
        <w:tc>
          <w:tcPr>
            <w:tcW w:w="2542" w:type="dxa"/>
            <w:shd w:val="clear" w:color="auto" w:fill="auto"/>
            <w:vAlign w:val="center"/>
          </w:tcPr>
          <w:p w14:paraId="769AD9E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生产工艺放大与优化</w:t>
            </w:r>
          </w:p>
        </w:tc>
      </w:tr>
      <w:tr w14:paraId="413F12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1233" w:type="dxa"/>
            <w:vMerge w:val="continue"/>
            <w:shd w:val="clear" w:color="auto" w:fill="auto"/>
            <w:vAlign w:val="center"/>
          </w:tcPr>
          <w:p w14:paraId="4531F6F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p>
        </w:tc>
        <w:tc>
          <w:tcPr>
            <w:tcW w:w="2809" w:type="dxa"/>
            <w:shd w:val="clear" w:color="auto" w:fill="auto"/>
            <w:vAlign w:val="center"/>
          </w:tcPr>
          <w:p w14:paraId="59818CE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生产组织、质量管理</w:t>
            </w:r>
          </w:p>
        </w:tc>
        <w:tc>
          <w:tcPr>
            <w:tcW w:w="2263" w:type="dxa"/>
            <w:vAlign w:val="center"/>
          </w:tcPr>
          <w:p w14:paraId="357B6F3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生产质量管理</w:t>
            </w:r>
          </w:p>
        </w:tc>
        <w:tc>
          <w:tcPr>
            <w:tcW w:w="2542" w:type="dxa"/>
            <w:shd w:val="clear" w:color="auto" w:fill="auto"/>
            <w:vAlign w:val="center"/>
          </w:tcPr>
          <w:p w14:paraId="2672937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生产组织与质量管理</w:t>
            </w:r>
          </w:p>
        </w:tc>
      </w:tr>
      <w:tr w14:paraId="10345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1233" w:type="dxa"/>
            <w:vMerge w:val="continue"/>
            <w:shd w:val="clear" w:color="auto" w:fill="auto"/>
            <w:vAlign w:val="center"/>
          </w:tcPr>
          <w:p w14:paraId="11FACE5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微软雅黑" w:hAnsi="微软雅黑" w:eastAsia="微软雅黑" w:cs="微软雅黑"/>
                <w:b w:val="0"/>
                <w:bCs w:val="0"/>
                <w:color w:val="auto"/>
                <w:kern w:val="2"/>
                <w:sz w:val="28"/>
                <w:szCs w:val="28"/>
                <w:lang w:val="en-US" w:eastAsia="zh-CN" w:bidi="ar-SA"/>
              </w:rPr>
            </w:pPr>
          </w:p>
        </w:tc>
        <w:tc>
          <w:tcPr>
            <w:tcW w:w="2809" w:type="dxa"/>
            <w:shd w:val="clear" w:color="auto" w:fill="auto"/>
            <w:vAlign w:val="center"/>
          </w:tcPr>
          <w:p w14:paraId="0B4FD34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三废处理</w:t>
            </w:r>
          </w:p>
          <w:p w14:paraId="628C47E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安全操作</w:t>
            </w:r>
          </w:p>
        </w:tc>
        <w:tc>
          <w:tcPr>
            <w:tcW w:w="2263" w:type="dxa"/>
            <w:vAlign w:val="center"/>
          </w:tcPr>
          <w:p w14:paraId="7A0A105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三废处理</w:t>
            </w:r>
          </w:p>
          <w:p w14:paraId="2C89EE0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安全操作</w:t>
            </w:r>
          </w:p>
        </w:tc>
        <w:tc>
          <w:tcPr>
            <w:tcW w:w="2542" w:type="dxa"/>
            <w:shd w:val="clear" w:color="auto" w:fill="auto"/>
            <w:vAlign w:val="center"/>
          </w:tcPr>
          <w:p w14:paraId="2F6AE52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环境保护与安全生产</w:t>
            </w:r>
          </w:p>
        </w:tc>
      </w:tr>
    </w:tbl>
    <w:p w14:paraId="610F14C8">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在完成第一、二学期公共基础课后实施该课程体系，第三学期实现学生由新手到合格操作员的转变，第四学期实现由合格操作员到熟练操作员的转变，第五学期则为学生今后工作中从操作员晋升为技术员奠定基础，并完成毕业设计（论文），第六学期通过顶岗实习培养学生生产实践和创新能力，为就业和创业打好基础。</w:t>
      </w:r>
    </w:p>
    <w:p w14:paraId="0A3C3388">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3．推进项目化教学改革（实现教学过程与生产过程对接）</w:t>
      </w:r>
    </w:p>
    <w:p w14:paraId="0FDF488D">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（1）引入职业标准，优化教学项目</w:t>
      </w:r>
    </w:p>
    <w:p w14:paraId="4377B9D6">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bookmarkStart w:id="24" w:name="_Toc268499858"/>
      <w:r>
        <w:rPr>
          <w:rFonts w:hint="eastAsia" w:ascii="仿宋" w:hAnsi="仿宋" w:eastAsia="仿宋" w:cs="仿宋"/>
          <w:b w:val="0"/>
          <w:bCs w:val="0"/>
          <w:color w:val="auto"/>
          <w:kern w:val="2"/>
          <w:sz w:val="32"/>
          <w:szCs w:val="32"/>
          <w:lang w:val="en-US" w:eastAsia="zh-CN" w:bidi="ar-SA"/>
        </w:rPr>
        <w:t>在工作过程系统化专业课程体系开发的基础上，由骨干教师和企业技术骨干组成课程开发团队，对课程的教学内容、教学模式、教学方法和手段等进行一体化的设计与改革，对接发酵工、生化药品提取工和药物制剂工等职业资格标准，对接企业生产过程，优化原有教学项目，进一步开发源于生产实际又高于实际的教学项目，修订、完善课程标准，形成 “入门项目、主导项目、自主项目、综合项目”四个层次的教学项目体系。建设期内，修订完善《生化药物生产》、《微生物药物生产》和《制药设备的运行与维护》等11门专业课程的课程标准，开发《生化药物生产》、《微生物药物生产》、《基础化学与实验技术》、《微生物基础》、《生物化学基础》等5门项目化核心课程。</w:t>
      </w:r>
    </w:p>
    <w:p w14:paraId="0961B6B0">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w:t>
      </w:r>
      <w:bookmarkEnd w:id="24"/>
      <w:r>
        <w:rPr>
          <w:rFonts w:hint="eastAsia" w:ascii="仿宋" w:hAnsi="仿宋" w:eastAsia="仿宋" w:cs="仿宋"/>
          <w:b w:val="0"/>
          <w:bCs w:val="0"/>
          <w:color w:val="auto"/>
          <w:kern w:val="2"/>
          <w:sz w:val="32"/>
          <w:szCs w:val="32"/>
          <w:lang w:val="en-US" w:eastAsia="zh-CN" w:bidi="ar-SA"/>
        </w:rPr>
        <w:t>实施项目化教学，突出能力培养</w:t>
      </w:r>
    </w:p>
    <w:p w14:paraId="07667D8A">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在产学研合作平台中开展项目化教学，针对四个层次的教学项目特点，以学生为主体，突出能力培养，强化实践训练，将知识的学习渗透于项目任务的咨询、决策、计划、实施、结果检查与评价中，达到做学合一。在获得经验的基础上，再进行理论提升，实现学生从生手到能手的跨越，从如何做事到如何做得更好的层面转变。（图3）</w:t>
      </w:r>
    </w:p>
    <w:p w14:paraId="569DDA19">
      <w:pPr>
        <w:pageBreakBefore w:val="0"/>
        <w:widowControl w:val="0"/>
        <w:kinsoku/>
        <w:wordWrap/>
        <w:overflowPunct/>
        <w:topLinePunct w:val="0"/>
        <w:autoSpaceDE/>
        <w:autoSpaceDN/>
        <w:bidi w:val="0"/>
        <w:adjustRightInd w:val="0"/>
        <w:snapToGrid w:val="0"/>
        <w:spacing w:line="240" w:lineRule="auto"/>
        <w:ind w:firstLine="640" w:firstLineChars="200"/>
        <w:jc w:val="center"/>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drawing>
          <wp:inline distT="0" distB="0" distL="0" distR="0">
            <wp:extent cx="3275965" cy="2039620"/>
            <wp:effectExtent l="1905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srcRect/>
                    <a:stretch>
                      <a:fillRect/>
                    </a:stretch>
                  </pic:blipFill>
                  <pic:spPr>
                    <a:xfrm>
                      <a:off x="0" y="0"/>
                      <a:ext cx="3275965" cy="2039620"/>
                    </a:xfrm>
                    <a:prstGeom prst="rect">
                      <a:avLst/>
                    </a:prstGeom>
                    <a:noFill/>
                    <a:ln w="9525">
                      <a:noFill/>
                      <a:miter lim="800000"/>
                      <a:headEnd/>
                      <a:tailEnd/>
                    </a:ln>
                  </pic:spPr>
                </pic:pic>
              </a:graphicData>
            </a:graphic>
          </wp:inline>
        </w:drawing>
      </w:r>
    </w:p>
    <w:p w14:paraId="043F61D3">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图3  项目化课程教学组织与实施</w:t>
      </w:r>
    </w:p>
    <w:p w14:paraId="6E37B41B">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（3）推进素质教育和创新创业教育，促进全面发展</w:t>
      </w:r>
    </w:p>
    <w:p w14:paraId="06F021BC">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基本素质平台。第一课堂以基础课程系统的模块化课程为主体，培养学生基本素质和学习能力，第二课堂通过公选课、学生社团、志愿者服务和社会实践等提高学生的科学文化素质，锻炼学生的社会能力，培养学生的自主管理能力和团队意识。</w:t>
      </w:r>
    </w:p>
    <w:p w14:paraId="3FE7EEB4">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职业素质平台。第一课堂以工作过程系统化课程系统的项目化课程为主体，以“入门、主导、自主、综合”多种层次项目为载体，反复训练学生的职业能力的同时，实现职业素质的提升。第二课堂选修《创业策划》、《创业实务》等选修课程，辅之以技能竞赛、创新创业竞赛等素质拓展活动，培养职业素质。</w:t>
      </w:r>
    </w:p>
    <w:p w14:paraId="77B6A672">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创新创业教育平台。以第一课堂自主项目、综合项目，第二课堂参与教师科研课题、企业技术改造、大学生创新实践项目的开放式课程系统为主体，以校内外实训基地为保障，有针对性地开展生产技术服务，选修《创业管理》、《创业拓展》课程，完成对“创业计划书”的评价与完善，最终以呈现《某药业有限公司创业方案书》的形式完成贯穿项目，将专业和就业结合起来，以创业的态度就业，把就业作为创业的开始。</w:t>
      </w:r>
    </w:p>
    <w:p w14:paraId="661BEEB6">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（4）推行多元化课程考核</w:t>
      </w:r>
    </w:p>
    <w:p w14:paraId="510F9E52">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改革传统的评价方式，将终结性评价与过程性评价相结合、水平性评价与表现性评价相结合、学业评价与职业资格证书相结合，实现评价内容的多元化。以项目实施过程中的表现考核学生的能力与素质，以多元化的评价方式考核学生的知识和技能，建立以职业能力为核心的多形式、多样化的课程考核办法。（图4） </w:t>
      </w:r>
    </w:p>
    <w:p w14:paraId="00C2DFA1">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 </w:t>
      </w:r>
    </w:p>
    <w:p w14:paraId="4AC12A0C">
      <w:pPr>
        <w:pageBreakBefore w:val="0"/>
        <w:widowControl w:val="0"/>
        <w:kinsoku/>
        <w:wordWrap/>
        <w:overflowPunct/>
        <w:topLinePunct w:val="0"/>
        <w:autoSpaceDE/>
        <w:autoSpaceDN/>
        <w:bidi w:val="0"/>
        <w:adjustRightInd w:val="0"/>
        <w:snapToGrid w:val="0"/>
        <w:spacing w:line="240" w:lineRule="auto"/>
        <w:ind w:firstLine="640" w:firstLineChars="200"/>
        <w:jc w:val="center"/>
        <w:textAlignment w:val="auto"/>
        <w:rPr>
          <w:rFonts w:hint="eastAsia" w:ascii="仿宋" w:hAnsi="仿宋" w:eastAsia="仿宋" w:cs="仿宋"/>
          <w:b w:val="0"/>
          <w:bCs w:val="0"/>
          <w:color w:val="auto"/>
          <w:kern w:val="2"/>
          <w:sz w:val="32"/>
          <w:szCs w:val="32"/>
          <w:lang w:val="en-US" w:eastAsia="zh-CN" w:bidi="ar-SA"/>
        </w:rPr>
      </w:pPr>
      <w:bookmarkStart w:id="28" w:name="_GoBack"/>
      <w:r>
        <w:rPr>
          <w:rFonts w:hint="eastAsia" w:ascii="仿宋" w:hAnsi="仿宋" w:eastAsia="仿宋" w:cs="仿宋"/>
          <w:b w:val="0"/>
          <w:bCs w:val="0"/>
          <w:color w:val="auto"/>
          <w:kern w:val="2"/>
          <w:sz w:val="32"/>
          <w:szCs w:val="32"/>
          <w:lang w:val="en-US" w:eastAsia="zh-CN" w:bidi="ar-SA"/>
        </w:rPr>
        <w:drawing>
          <wp:inline distT="0" distB="0" distL="0" distR="0">
            <wp:extent cx="3145155" cy="2280920"/>
            <wp:effectExtent l="0" t="0" r="1714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srcRect/>
                    <a:stretch>
                      <a:fillRect/>
                    </a:stretch>
                  </pic:blipFill>
                  <pic:spPr>
                    <a:xfrm>
                      <a:off x="0" y="0"/>
                      <a:ext cx="3145155" cy="2280920"/>
                    </a:xfrm>
                    <a:prstGeom prst="rect">
                      <a:avLst/>
                    </a:prstGeom>
                    <a:noFill/>
                    <a:ln w="9525">
                      <a:noFill/>
                      <a:miter lim="800000"/>
                      <a:headEnd/>
                      <a:tailEnd/>
                    </a:ln>
                  </pic:spPr>
                </pic:pic>
              </a:graphicData>
            </a:graphic>
          </wp:inline>
        </w:drawing>
      </w:r>
      <w:bookmarkEnd w:id="28"/>
    </w:p>
    <w:p w14:paraId="11D9BA0D">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center"/>
        <w:textAlignment w:val="auto"/>
        <w:rPr>
          <w:rFonts w:hint="eastAsia" w:ascii="微软雅黑" w:hAnsi="微软雅黑" w:eastAsia="微软雅黑" w:cs="微软雅黑"/>
          <w:b w:val="0"/>
          <w:bCs w:val="0"/>
          <w:color w:val="auto"/>
          <w:kern w:val="2"/>
          <w:sz w:val="28"/>
          <w:szCs w:val="28"/>
          <w:lang w:val="en-US" w:eastAsia="zh-CN" w:bidi="ar-SA"/>
        </w:rPr>
      </w:pPr>
      <w:r>
        <w:rPr>
          <w:rFonts w:hint="eastAsia" w:ascii="微软雅黑" w:hAnsi="微软雅黑" w:eastAsia="微软雅黑" w:cs="微软雅黑"/>
          <w:b w:val="0"/>
          <w:bCs w:val="0"/>
          <w:color w:val="auto"/>
          <w:kern w:val="2"/>
          <w:sz w:val="28"/>
          <w:szCs w:val="28"/>
          <w:lang w:val="en-US" w:eastAsia="zh-CN" w:bidi="ar-SA"/>
        </w:rPr>
        <w:t>图4 以职业能力为核心的多元化课程考核</w:t>
      </w:r>
    </w:p>
    <w:p w14:paraId="2E21E774">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4.强化资源库建设</w:t>
      </w:r>
    </w:p>
    <w:p w14:paraId="4E4B3E23">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在合理使用高职生物技术、药物制剂等现有的国家教学资源库的基础上，组建由专业带头人、骨干教师、企业技术骨干、多媒体与网络技术人员等组成的资源库建设团队，充分利用学院的数字化教学平台，校企合作共建专业教学资源库。按照岗位要求和课程标准，运用数据库开发技术，将人才培养方案、课程标准、教学项目、职业资格标准、标准操作规程、生物材料管理规范、发酵罐操作动画、生产案例等集成；再运用多媒体和网络技术，开发典型生物药物的虚拟生产流程、虚拟生产工艺等视频资源，形成具有信息查询、资料下载、教学指导、学习咨询和就业支持等多种功能的专业教学资源库。</w:t>
      </w:r>
    </w:p>
    <w:p w14:paraId="1C453F9A">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5.加强特色教材建设</w:t>
      </w:r>
    </w:p>
    <w:p w14:paraId="2B7DA10D">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由骨干教师、企业技术骨干组成教材开发团队，共同研讨职业岗位任务所需的知识、能力、素质要求，引入职业资格标准、产品质量标准，确定编写思路，拟定编写大纲。建设期内，完成《生物产品开发与工艺优化》、《生物医药职业工作概貌》等6本项目化课程校本教材，组织编写并出版《基因操作技术》、《酶制剂生产技术》和《生物分离纯化技术》等3本项目化课程特色教材，力争1本成为省级精品教材。</w:t>
      </w:r>
    </w:p>
    <w:bookmarkEnd w:id="23"/>
    <w:p w14:paraId="231D1866">
      <w:pPr>
        <w:pStyle w:val="33"/>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color w:val="auto"/>
          <w:kern w:val="2"/>
          <w:sz w:val="32"/>
          <w:szCs w:val="32"/>
          <w:lang w:val="en-US" w:eastAsia="zh-CN" w:bidi="ar-SA"/>
        </w:rPr>
      </w:pPr>
      <w:bookmarkStart w:id="25" w:name="_Toc305785363"/>
      <w:r>
        <w:rPr>
          <w:rFonts w:hint="eastAsia" w:ascii="方正楷体_GBK" w:hAnsi="方正楷体_GBK" w:eastAsia="方正楷体_GBK" w:cs="方正楷体_GBK"/>
          <w:color w:val="auto"/>
          <w:kern w:val="2"/>
          <w:sz w:val="32"/>
          <w:szCs w:val="32"/>
          <w:lang w:val="en-US" w:eastAsia="zh-CN" w:bidi="ar-SA"/>
        </w:rPr>
        <w:t>（四）实施三项工程，提升双师素质，打造优秀教学团队</w:t>
      </w:r>
      <w:bookmarkEnd w:id="25"/>
    </w:p>
    <w:p w14:paraId="2603AAE4">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依托生物制药产学研合作平台，以教师职业教育教学能力提升为抓手，实施“双带头人”工程，形成校内和校外专业带头人共同负责专业建设的工作机制；实施“强基”工程，切实提高青年教师基本教学能力；实施“聚合”工程，骨干教师与企业技术骨干结对共聚，提升专业教师双师素质，打造一支职教能力强、社会服务能力高、结构合理、专兼结合的“双师”型专业教学团队。</w:t>
      </w:r>
    </w:p>
    <w:p w14:paraId="5B6392A5">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1.专业双带头人培养</w:t>
      </w:r>
    </w:p>
    <w:p w14:paraId="1C6550D7">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建设期内，聘请和培养能站在生物制药技术生产一线、熟悉行业产业的发展和运作、有一定影响力的、掌握生物制药技术生产一线动态、把握教育教学改革方向的专业带头人2名，其中1名来自于行业企业专家，形成校内和校外专业带头人共同负责专业建设的工作机制。</w:t>
      </w:r>
    </w:p>
    <w:p w14:paraId="617AC588">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2.骨干教师和技术骨干结对培养</w:t>
      </w:r>
    </w:p>
    <w:p w14:paraId="31C65340">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实施“聚合”工程，建设期内实现5名骨干教师和企业技术骨干“一对一”结对，合作完成实训基地建设、教育教学改革、项目化教学、产品开发、技术服务、学生实习就业等方面的工作。</w:t>
      </w:r>
    </w:p>
    <w:p w14:paraId="5DF8E289">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3.青年教师培养</w:t>
      </w:r>
    </w:p>
    <w:p w14:paraId="07659426">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全力实施“强基”工程，采取“一对一”以老带新方式，指导青年教师提高教学基本功和职业教育能力，制定职业生涯规划；参加相关职业教育师资培训，定期下企业实践或参加新产品研发。建设期内对青年教师制定3年培养计划并实施。</w:t>
      </w:r>
    </w:p>
    <w:p w14:paraId="00F9D9E1">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4.双师素质提升</w:t>
      </w:r>
    </w:p>
    <w:p w14:paraId="17041BB8">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以获得高级工以上职业资格证书或工程师以上职称作为衡量标准，制定专业教师“双师”素质提升计划。建设期内，安排8名专业教师参加国内外培训、4名到企业教师工作站实践，“双师”素质教师比例稳定在100%。</w:t>
      </w:r>
    </w:p>
    <w:p w14:paraId="1C9005FD">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5.兼职教师队伍建设</w:t>
      </w:r>
    </w:p>
    <w:p w14:paraId="2C659D45">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聘请热爱教育事业，具有良好职业道德和政治思想品质的企业技术人员为兼职教师，新聘20名兼职教师，建立由30名企业技术人员组成的兼职教师库，实现兼职教师担任专业课比例达50%。</w:t>
      </w:r>
    </w:p>
    <w:p w14:paraId="1AFA0561">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选拔和聘用5名有影响力的行业企业技术专家全程参与人才培养、专业建设的各项工作，使之成为兼职教师队伍的核心骨干。</w:t>
      </w:r>
    </w:p>
    <w:p w14:paraId="1F76C141">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每年安排2期兼职教师培训，主要进行教学理念、教学方法、教育学、心理学和教育法规等的学习与交流，使之熟悉职教规律和教学方法，能将新技术、新工艺及时传授给学生。</w:t>
      </w:r>
    </w:p>
    <w:p w14:paraId="5E6A1DF5">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6.教学团队建设</w:t>
      </w:r>
    </w:p>
    <w:p w14:paraId="10D061BB">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按照学院深化教学团队建设要求，专业带头人牵头组建骨干教师、企业技术骨干、青年教师组成5个核心课程教学团队和2个项目开发团队，进行课程开发、项目化教学、教材编写、资源库建设、教改研究、技术开发和社会服务等。建设期内，打造一支职教能力强、社会服务能力高、结构合理、专兼结合的“双师”型专业教学团队。</w:t>
      </w:r>
    </w:p>
    <w:p w14:paraId="0C38D6DA">
      <w:pPr>
        <w:pStyle w:val="33"/>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color w:val="auto"/>
          <w:kern w:val="2"/>
          <w:sz w:val="32"/>
          <w:szCs w:val="32"/>
          <w:lang w:val="en-US" w:eastAsia="zh-CN" w:bidi="ar-SA"/>
        </w:rPr>
      </w:pPr>
      <w:bookmarkStart w:id="26" w:name="_Toc305785364"/>
      <w:r>
        <w:rPr>
          <w:rFonts w:hint="eastAsia" w:ascii="方正楷体_GBK" w:hAnsi="方正楷体_GBK" w:eastAsia="方正楷体_GBK" w:cs="方正楷体_GBK"/>
          <w:color w:val="auto"/>
          <w:kern w:val="2"/>
          <w:sz w:val="32"/>
          <w:szCs w:val="32"/>
          <w:lang w:val="en-US" w:eastAsia="zh-CN" w:bidi="ar-SA"/>
        </w:rPr>
        <w:t>（五）建立多元评价机制，实施全面质量管理，保障人才培养质量</w:t>
      </w:r>
      <w:bookmarkEnd w:id="26"/>
    </w:p>
    <w:p w14:paraId="2BBAEB77">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以毕业生就业率、就业质量、企业满意度和创新创业成效等为指标，制定企业、行业协会、学生及其家长等共同参与的第三方人才培养质量评价制度，运用全面质量管理方法，建立质量评价反馈体系，保障人才培养质量。</w:t>
      </w:r>
    </w:p>
    <w:p w14:paraId="2082D2E6">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1.建立质量评价制度</w:t>
      </w:r>
    </w:p>
    <w:p w14:paraId="0E8F3B79">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结合人才培养工作状态数据采集平台，着重进行教学质量结果指标和过程指标的关联度分析，以毕业生的就业率、就业质量、企业的满意度和创新创业成效等作为衡量要素，通过第三方调查以及学校对学生、用人单位的调查，确定人才培养质量中最重要的影响环节及关键指标。</w:t>
      </w:r>
    </w:p>
    <w:p w14:paraId="650E008D">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根据对毕业生、用人单位的调查，结合企业对高端技能型专门人才的具体要求，研究制定和完善各关键性监控指标的质量标准或实施意见，明确对关键监控指标的质量要求。</w:t>
      </w:r>
    </w:p>
    <w:p w14:paraId="4EEDA26E">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组建企业、行业协会、学生及其家长、教师等共同参与的质量评价工作机构，根据质量标准和实施意见，进行质量评</w:t>
      </w:r>
      <w:r>
        <w:rPr>
          <w:rFonts w:hint="eastAsia" w:ascii="仿宋" w:hAnsi="仿宋" w:eastAsia="仿宋" w:cs="仿宋"/>
          <w:b/>
          <w:bCs/>
          <w:color w:val="auto"/>
          <w:kern w:val="2"/>
          <w:sz w:val="32"/>
          <w:szCs w:val="32"/>
          <w:lang w:val="en-US" w:eastAsia="zh-CN" w:bidi="ar-SA"/>
        </w:rPr>
        <w:t>价。</w:t>
      </w:r>
    </w:p>
    <w:p w14:paraId="7171B2CC">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2.实施全过程质量管理</w:t>
      </w:r>
    </w:p>
    <w:p w14:paraId="098C4743">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依据全面性和全程性原则，对影响教育教学质量的各个要素进行分析，校企合作，对包括人才培养目标、人才培养方案及落实、师资队伍质量、实训基地建设与管理质量、学生学习质量、教学过程、教材质量、考试和考核、顶岗实习、毕业设计（论文）等人才培养全过程进行管理和监控。</w:t>
      </w:r>
    </w:p>
    <w:p w14:paraId="04736E2E">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针对确立的人才培养质量的关键性指标，重点抓好5个方面的管理监控工作：</w:t>
      </w:r>
    </w:p>
    <w:p w14:paraId="74F63B67">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一是对新生状况进行分析。每年对新生进行基本情况调研，对新生专业满意度、知识结构、学生个性、心理健康状态等进行分析，为专业教育及因材施教提供依据；</w:t>
      </w:r>
    </w:p>
    <w:p w14:paraId="377DCAFE">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二是师资队伍建设的监控，完善相关制度和措施，优化师资结构；通过实施“双带头人”工程和“结对共聚”型专业教学团队建设，加强“双师”素质的培养；加强师德建设，打造一支素质优良、专兼结合的强有力的师资队伍；</w:t>
      </w:r>
    </w:p>
    <w:p w14:paraId="59982C1F">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三是课程建设的监控，加强对专业人才培养方案、课程设置、教学计划落实等方面的监控，对教学内容是否符合专业人才培养定位、是否适应产业调整、是否引进企业行业标准、是否不断充实新知识、新技术、新工艺等进行监控；</w:t>
      </w:r>
    </w:p>
    <w:p w14:paraId="34DC907C">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四是对教学方法的监控，教学方法是否以学生为主体，是否以能力训练为重点，是否采用行动导向的各种教学方法；</w:t>
      </w:r>
    </w:p>
    <w:p w14:paraId="3F99511D">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五是考试考核方式的监控，监控课程考核是否通过多种考核方式结合检验学生学习成绩和教学效果，是否以职业能力为核心，对知识、能力、素质做全面考核。</w:t>
      </w:r>
    </w:p>
    <w:p w14:paraId="3BA23182">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3.确立质量评价反馈体系</w:t>
      </w:r>
    </w:p>
    <w:p w14:paraId="57D3D697">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1）完善企业评价信息反馈制度，形成校企联合反馈预警机制。在教学各环节的管理与监控中引入企业评价，行业企业专家参与专业论证、人才培养目标和方案的审定，聘请企业兼职教学督导员，参与教学过程的监控，尤其在校外实训、产学结合、顶岗实习等环节重视用人单位的反馈；广泛收集企业对学生质量的评价信息，进一步提高教育教学质量和完善人才培养方案。</w:t>
      </w:r>
    </w:p>
    <w:p w14:paraId="625C13A4">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2）健全毕业生信息跟踪和反馈机制。组织对毕业生进行5年连续跟踪调查，及时了解毕业生岗位适应情况并收集毕业生的反馈意见，跟踪毕业生职业可持续发展轨迹，为人才培养方案的修正提供依据；继续通过麦可思公司对专业毕业生进行调查，认真分析和有效利用相关数据。依据毕业生调查数据对人才培养质量进行分析诊断，对人才培养方案和培养过程做出修正和改进； </w:t>
      </w:r>
    </w:p>
    <w:p w14:paraId="6D1668E4">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3）重视网络反馈，充分发挥数据平台作用。进一步完善教学质量网络监控反馈系统，及时反馈教师教学质量评价结果与改进意见，反馈教学实施、运行、教学管理中出现的问题，为进一步改进教学质量提供有价值的意见和建议。</w:t>
      </w:r>
    </w:p>
    <w:p w14:paraId="26022DAF">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（4）对各方面的教学质量反馈信息进行整理、分析，全面、及时地反馈给专业建设理事会及院系有关部门，以便适时修订人才培养标准，改进过程控制的工作方法，对教学管理和教学活动进行及时调控和改进。</w:t>
      </w:r>
    </w:p>
    <w:p w14:paraId="65878406">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5）对人才培养关键因素评价结果的分析与改进。根据新生分析结果确定新生教育的重点和针对性，根据知识结构因材施教组织教学，根据学生心理状态分析，做好学生的心理疏导和防范。对教师教学能力、课程、教育教学方法、考试评价方式等关键因素实施、落实中出现的偏差，及时进行调控有针对性地提出改进措施。</w:t>
      </w:r>
    </w:p>
    <w:p w14:paraId="575C79A8">
      <w:pPr>
        <w:pStyle w:val="33"/>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color w:val="auto"/>
          <w:kern w:val="2"/>
          <w:sz w:val="32"/>
          <w:szCs w:val="32"/>
          <w:lang w:val="en-US" w:eastAsia="zh-CN" w:bidi="ar-SA"/>
        </w:rPr>
      </w:pPr>
      <w:bookmarkStart w:id="27" w:name="_Toc305785365"/>
      <w:r>
        <w:rPr>
          <w:rFonts w:hint="eastAsia" w:ascii="方正楷体_GBK" w:hAnsi="方正楷体_GBK" w:eastAsia="方正楷体_GBK" w:cs="方正楷体_GBK"/>
          <w:color w:val="auto"/>
          <w:kern w:val="2"/>
          <w:sz w:val="32"/>
          <w:szCs w:val="32"/>
          <w:lang w:val="en-US" w:eastAsia="zh-CN" w:bidi="ar-SA"/>
        </w:rPr>
        <w:t>（六）实施中高职衔接，促进生物制药职业教育协调发展</w:t>
      </w:r>
      <w:bookmarkEnd w:id="27"/>
    </w:p>
    <w:p w14:paraId="6AC538BF">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适应江苏省生物制药产业发展和社会发展要求，满足终身学习需要，与市场需求和劳动就业紧密结合，发挥中等职业学校的基础作用和高等职业院校的引领作用，与盐城生物工程高等职业技术学校等学校合作，探索生物制药技能型人才系统培养模式，实现高职与中职生物制药技术及相关专业在培养目标、课程内容、教学模式、职业资格证书等方面的深度衔接，促进生物制药技能型人才的系统培养和中高职教育的协调发展。</w:t>
      </w:r>
    </w:p>
    <w:p w14:paraId="1D8CF48D">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1.探索技能型人才系统培养模式</w:t>
      </w:r>
    </w:p>
    <w:p w14:paraId="40706271">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五年一贯制衔接模式：具体可分为“3+2”和“2+3”两种形式, 即学生在受完中等职业教育( 3 年或2年) 的基础上再接受高职教育( 2年或3年)，毕业后颁发高职专科文凭。对口升学衔接模式：通过对口升学考试进入对口的生物制药专业接受二至三年的高职教育。直通制衔接模式：前三年按中职教学计划实施教育, 然后按三年的学业成绩和综合表现择优选拔部分学生升入高职, 再学习两年, 完成高职专科学业,考试合格颁发专科毕业证书。</w:t>
      </w:r>
    </w:p>
    <w:p w14:paraId="5534F001">
      <w:pPr>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2.实现“培养目标、课程内容、教学模式、职业资格证书”的衔接</w:t>
      </w:r>
    </w:p>
    <w:p w14:paraId="2DB1B07C">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（1）培养目标和规格的衔接。培养目标都从行业的职业岗位不同要求及相应规范中去确定，中等职业学校重点培养技能型人才，高等职业院校重点培养高端技能型人才。</w:t>
      </w:r>
    </w:p>
    <w:p w14:paraId="49B8DE33">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课程和教学内容的衔接。聘请中职校的专业教师和行业企业技术人才全程参与中、高职衔接的专业人才培养方案的制定，共同探讨企业对专业人才的需求，就业岗位和在中、高职两个阶段应具备知识、能力和素质结构，构建课程体系，确定教学内容。</w:t>
      </w:r>
    </w:p>
    <w:p w14:paraId="5DC7F0D9">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3）教学模式的衔接。无论是中等职业教育还是高等职业教育，在培养模式上突出操作性、实践性的职业教育特色，突出职业能力培养的课程标准、“双证书”毕业要求、与行业企业的密切联系、双师型师资队伍建设、实训基地的建设等。</w:t>
      </w:r>
    </w:p>
    <w:p w14:paraId="4F1B7ED7">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（4）职业资格证书衔接。分段完成职业技能培训，中职阶段进行初级培训，获得初级职业资格证书，高职阶段进行中级、高级培训，获得中高级职业资格证书。</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44FCE534-212E-4430-B2B2-ECC8D88F5AC5}"/>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embedRegular r:id="rId2" w:fontKey="{5B9ABE26-CAAA-4844-B83E-7B3305C1AEF4}"/>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auto"/>
    <w:pitch w:val="default"/>
    <w:sig w:usb0="A00002BF" w:usb1="38CF7CFA" w:usb2="00082016" w:usb3="00000000" w:csb0="00040001" w:csb1="00000000"/>
    <w:embedRegular r:id="rId3" w:fontKey="{536C7595-A862-4A7F-AC94-3A2D01D98335}"/>
  </w:font>
  <w:font w:name="微软雅黑">
    <w:panose1 w:val="020B0503020204020204"/>
    <w:charset w:val="86"/>
    <w:family w:val="auto"/>
    <w:pitch w:val="default"/>
    <w:sig w:usb0="80000287" w:usb1="2ACF3C50" w:usb2="00000016" w:usb3="00000000" w:csb0="0004001F" w:csb1="00000000"/>
    <w:embedRegular r:id="rId4" w:fontKey="{C132DDE8-64E6-45C5-BDC8-CF4822283643}"/>
  </w:font>
  <w:font w:name="方正黑体_GBK">
    <w:altName w:val="微软雅黑"/>
    <w:panose1 w:val="00000000000000000000"/>
    <w:charset w:val="00"/>
    <w:family w:val="auto"/>
    <w:pitch w:val="default"/>
    <w:sig w:usb0="00000000" w:usb1="00000000" w:usb2="00000000" w:usb3="00000000" w:csb0="00000000" w:csb1="00000000"/>
    <w:embedRegular r:id="rId5" w:fontKey="{EF568A8F-8BF5-44FD-97D6-8A0CE1B83145}"/>
  </w:font>
  <w:font w:name="方正楷体_GBK">
    <w:panose1 w:val="02000000000000000000"/>
    <w:charset w:val="86"/>
    <w:family w:val="auto"/>
    <w:pitch w:val="default"/>
    <w:sig w:usb0="800002BF" w:usb1="38CF7CFA" w:usb2="00000016" w:usb3="00000000" w:csb0="00040000" w:csb1="00000000"/>
    <w:embedRegular r:id="rId6" w:fontKey="{85D2017B-3DD4-4794-8F35-25289003193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1DCAD">
    <w:pPr>
      <w:pStyle w:val="1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9A750CF">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21</w:t>
                </w:r>
                <w:r>
                  <w:fldChar w:fldCharType="end"/>
                </w:r>
                <w: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6C035">
    <w:pPr>
      <w:ind w:firstLine="560"/>
      <w:jc w:val="right"/>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*****专业建设规划</w:t>
    </w:r>
  </w:p>
  <w:p w14:paraId="21C9DC4B">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C51DB"/>
    <w:rsid w:val="00053786"/>
    <w:rsid w:val="001026B1"/>
    <w:rsid w:val="0018377F"/>
    <w:rsid w:val="002310A9"/>
    <w:rsid w:val="002346C2"/>
    <w:rsid w:val="002B363E"/>
    <w:rsid w:val="003A5A5B"/>
    <w:rsid w:val="00456AAA"/>
    <w:rsid w:val="0067179D"/>
    <w:rsid w:val="006E0F73"/>
    <w:rsid w:val="0071336D"/>
    <w:rsid w:val="007759E0"/>
    <w:rsid w:val="008014BD"/>
    <w:rsid w:val="00841058"/>
    <w:rsid w:val="00A611E9"/>
    <w:rsid w:val="00A97386"/>
    <w:rsid w:val="00BA4F4D"/>
    <w:rsid w:val="00C400F2"/>
    <w:rsid w:val="00CC51DB"/>
    <w:rsid w:val="00D00650"/>
    <w:rsid w:val="00DF6D24"/>
    <w:rsid w:val="00E91108"/>
    <w:rsid w:val="20520BC3"/>
    <w:rsid w:val="221D2191"/>
    <w:rsid w:val="25246FD6"/>
    <w:rsid w:val="31CF7EC7"/>
    <w:rsid w:val="560172F1"/>
    <w:rsid w:val="635F2F0D"/>
    <w:rsid w:val="63950E07"/>
    <w:rsid w:val="69A2602B"/>
    <w:rsid w:val="70657DB3"/>
    <w:rsid w:val="79B51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nhideWhenUsed="0" w:uiPriority="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7"/>
    <w:qFormat/>
    <w:uiPriority w:val="0"/>
    <w:pPr>
      <w:keepNext/>
      <w:keepLines/>
      <w:spacing w:line="600" w:lineRule="auto"/>
      <w:outlineLvl w:val="0"/>
    </w:pPr>
    <w:rPr>
      <w:rFonts w:ascii="Times New Roman" w:hAnsi="Times New Roman"/>
      <w:b/>
      <w:bCs/>
      <w:kern w:val="44"/>
      <w:sz w:val="28"/>
      <w:szCs w:val="44"/>
    </w:rPr>
  </w:style>
  <w:style w:type="paragraph" w:styleId="3">
    <w:name w:val="heading 2"/>
    <w:basedOn w:val="1"/>
    <w:next w:val="1"/>
    <w:link w:val="28"/>
    <w:qFormat/>
    <w:uiPriority w:val="0"/>
    <w:pPr>
      <w:keepNext/>
      <w:keepLines/>
      <w:spacing w:line="600" w:lineRule="auto"/>
      <w:outlineLvl w:val="1"/>
    </w:pPr>
    <w:rPr>
      <w:rFonts w:ascii="Arial" w:hAnsi="Arial"/>
      <w:b/>
      <w:bCs/>
      <w:sz w:val="28"/>
      <w:szCs w:val="32"/>
    </w:rPr>
  </w:style>
  <w:style w:type="paragraph" w:styleId="4">
    <w:name w:val="heading 3"/>
    <w:basedOn w:val="1"/>
    <w:next w:val="1"/>
    <w:link w:val="29"/>
    <w:qFormat/>
    <w:uiPriority w:val="0"/>
    <w:pPr>
      <w:keepNext/>
      <w:keepLines/>
      <w:spacing w:before="260" w:after="260" w:line="416" w:lineRule="auto"/>
      <w:outlineLvl w:val="2"/>
    </w:pPr>
    <w:rPr>
      <w:rFonts w:ascii="Times New Roman" w:hAnsi="Times New Roman"/>
      <w:b/>
      <w:bCs/>
      <w:sz w:val="32"/>
      <w:szCs w:val="32"/>
    </w:rPr>
  </w:style>
  <w:style w:type="paragraph" w:styleId="5">
    <w:name w:val="heading 4"/>
    <w:basedOn w:val="1"/>
    <w:next w:val="1"/>
    <w:link w:val="30"/>
    <w:qFormat/>
    <w:uiPriority w:val="0"/>
    <w:pPr>
      <w:keepNext/>
      <w:keepLines/>
      <w:snapToGrid w:val="0"/>
      <w:spacing w:afterLines="50" w:line="360" w:lineRule="auto"/>
      <w:ind w:left="200" w:leftChars="200"/>
      <w:outlineLvl w:val="3"/>
    </w:pPr>
    <w:rPr>
      <w:rFonts w:ascii="Cambria" w:hAnsi="Cambria" w:eastAsia="仿宋_GB2312"/>
      <w:b/>
      <w:bCs/>
      <w:sz w:val="28"/>
      <w:szCs w:val="28"/>
    </w:rPr>
  </w:style>
  <w:style w:type="paragraph" w:styleId="6">
    <w:name w:val="heading 5"/>
    <w:basedOn w:val="1"/>
    <w:next w:val="1"/>
    <w:link w:val="31"/>
    <w:qFormat/>
    <w:uiPriority w:val="0"/>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32"/>
    <w:qFormat/>
    <w:uiPriority w:val="0"/>
    <w:pPr>
      <w:keepNext/>
      <w:keepLines/>
      <w:spacing w:before="240" w:after="64" w:line="320" w:lineRule="auto"/>
      <w:outlineLvl w:val="5"/>
    </w:pPr>
    <w:rPr>
      <w:rFonts w:ascii="Arial" w:hAnsi="Arial" w:eastAsia="黑体"/>
      <w:b/>
      <w:bCs/>
      <w:sz w:val="24"/>
      <w:szCs w:val="24"/>
    </w:rPr>
  </w:style>
  <w:style w:type="character" w:default="1" w:styleId="19">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8">
    <w:name w:val="Normal Indent"/>
    <w:basedOn w:val="1"/>
    <w:uiPriority w:val="0"/>
    <w:pPr>
      <w:ind w:firstLine="420" w:firstLineChars="200"/>
    </w:pPr>
    <w:rPr>
      <w:rFonts w:ascii="Times New Roman" w:hAnsi="Times New Roman"/>
      <w:szCs w:val="24"/>
    </w:rPr>
  </w:style>
  <w:style w:type="paragraph" w:styleId="9">
    <w:name w:val="caption"/>
    <w:basedOn w:val="1"/>
    <w:next w:val="8"/>
    <w:qFormat/>
    <w:uiPriority w:val="0"/>
    <w:pPr>
      <w:widowControl/>
      <w:adjustRightInd w:val="0"/>
      <w:snapToGrid w:val="0"/>
      <w:jc w:val="center"/>
    </w:pPr>
    <w:rPr>
      <w:rFonts w:ascii="Arial" w:hAnsi="Arial" w:eastAsia="黑体"/>
      <w:szCs w:val="20"/>
    </w:rPr>
  </w:style>
  <w:style w:type="paragraph" w:styleId="10">
    <w:name w:val="Document Map"/>
    <w:basedOn w:val="1"/>
    <w:link w:val="45"/>
    <w:semiHidden/>
    <w:uiPriority w:val="0"/>
    <w:pPr>
      <w:shd w:val="clear" w:color="auto" w:fill="000080"/>
    </w:pPr>
    <w:rPr>
      <w:rFonts w:ascii="Times New Roman" w:hAnsi="Times New Roman"/>
      <w:szCs w:val="24"/>
    </w:rPr>
  </w:style>
  <w:style w:type="paragraph" w:styleId="11">
    <w:name w:val="Date"/>
    <w:basedOn w:val="1"/>
    <w:next w:val="1"/>
    <w:link w:val="43"/>
    <w:uiPriority w:val="0"/>
    <w:pPr>
      <w:ind w:left="100" w:leftChars="2500"/>
    </w:pPr>
    <w:rPr>
      <w:rFonts w:ascii="Times New Roman" w:hAnsi="Times New Roman"/>
      <w:szCs w:val="24"/>
    </w:rPr>
  </w:style>
  <w:style w:type="paragraph" w:styleId="12">
    <w:name w:val="Balloon Text"/>
    <w:basedOn w:val="1"/>
    <w:link w:val="26"/>
    <w:unhideWhenUsed/>
    <w:uiPriority w:val="0"/>
    <w:rPr>
      <w:sz w:val="18"/>
      <w:szCs w:val="18"/>
    </w:rPr>
  </w:style>
  <w:style w:type="paragraph" w:styleId="13">
    <w:name w:val="footer"/>
    <w:basedOn w:val="1"/>
    <w:link w:val="25"/>
    <w:unhideWhenUsed/>
    <w:uiPriority w:val="99"/>
    <w:pPr>
      <w:tabs>
        <w:tab w:val="center" w:pos="4153"/>
        <w:tab w:val="right" w:pos="8306"/>
      </w:tabs>
      <w:snapToGrid w:val="0"/>
      <w:jc w:val="left"/>
    </w:pPr>
    <w:rPr>
      <w:sz w:val="18"/>
      <w:szCs w:val="18"/>
    </w:rPr>
  </w:style>
  <w:style w:type="paragraph" w:styleId="14">
    <w:name w:val="header"/>
    <w:basedOn w:val="1"/>
    <w:link w:val="24"/>
    <w:unhideWhenUsed/>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iPriority w:val="39"/>
    <w:pPr>
      <w:spacing w:line="500" w:lineRule="exact"/>
    </w:pPr>
    <w:rPr>
      <w:rFonts w:ascii="Times New Roman" w:hAnsi="Times New Roman"/>
      <w:b/>
      <w:sz w:val="24"/>
      <w:szCs w:val="24"/>
    </w:rPr>
  </w:style>
  <w:style w:type="paragraph" w:styleId="16">
    <w:name w:val="toc 2"/>
    <w:basedOn w:val="1"/>
    <w:next w:val="1"/>
    <w:autoRedefine/>
    <w:uiPriority w:val="39"/>
    <w:pPr>
      <w:spacing w:line="500" w:lineRule="exact"/>
      <w:ind w:left="200" w:leftChars="200"/>
    </w:pPr>
    <w:rPr>
      <w:rFonts w:ascii="Times New Roman" w:hAnsi="Times New Roman"/>
      <w:szCs w:val="24"/>
    </w:rPr>
  </w:style>
  <w:style w:type="paragraph" w:styleId="17">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styleId="20">
    <w:name w:val="Strong"/>
    <w:basedOn w:val="19"/>
    <w:qFormat/>
    <w:uiPriority w:val="0"/>
    <w:rPr>
      <w:b/>
      <w:bCs/>
    </w:rPr>
  </w:style>
  <w:style w:type="character" w:styleId="21">
    <w:name w:val="FollowedHyperlink"/>
    <w:basedOn w:val="19"/>
    <w:semiHidden/>
    <w:unhideWhenUsed/>
    <w:uiPriority w:val="99"/>
    <w:rPr>
      <w:color w:val="954F72" w:themeColor="followedHyperlink"/>
      <w:u w:val="single"/>
    </w:rPr>
  </w:style>
  <w:style w:type="character" w:styleId="22">
    <w:name w:val="Hyperlink"/>
    <w:unhideWhenUsed/>
    <w:uiPriority w:val="99"/>
    <w:rPr>
      <w:color w:val="0000FF"/>
      <w:u w:val="single"/>
    </w:rPr>
  </w:style>
  <w:style w:type="paragraph" w:styleId="23">
    <w:name w:val="List Paragraph"/>
    <w:basedOn w:val="1"/>
    <w:qFormat/>
    <w:uiPriority w:val="34"/>
    <w:pPr>
      <w:ind w:firstLine="420" w:firstLineChars="200"/>
    </w:pPr>
  </w:style>
  <w:style w:type="character" w:customStyle="1" w:styleId="24">
    <w:name w:val="页眉 Char"/>
    <w:basedOn w:val="19"/>
    <w:link w:val="14"/>
    <w:uiPriority w:val="0"/>
    <w:rPr>
      <w:rFonts w:ascii="Calibri" w:hAnsi="Calibri" w:eastAsia="宋体" w:cs="Times New Roman"/>
      <w:sz w:val="18"/>
      <w:szCs w:val="18"/>
    </w:rPr>
  </w:style>
  <w:style w:type="character" w:customStyle="1" w:styleId="25">
    <w:name w:val="页脚 Char"/>
    <w:basedOn w:val="19"/>
    <w:link w:val="13"/>
    <w:uiPriority w:val="99"/>
    <w:rPr>
      <w:rFonts w:ascii="Calibri" w:hAnsi="Calibri" w:eastAsia="宋体" w:cs="Times New Roman"/>
      <w:sz w:val="18"/>
      <w:szCs w:val="18"/>
    </w:rPr>
  </w:style>
  <w:style w:type="character" w:customStyle="1" w:styleId="26">
    <w:name w:val="批注框文本 Char"/>
    <w:basedOn w:val="19"/>
    <w:link w:val="12"/>
    <w:uiPriority w:val="0"/>
    <w:rPr>
      <w:rFonts w:ascii="Calibri" w:hAnsi="Calibri" w:eastAsia="宋体" w:cs="Times New Roman"/>
      <w:sz w:val="18"/>
      <w:szCs w:val="18"/>
    </w:rPr>
  </w:style>
  <w:style w:type="character" w:customStyle="1" w:styleId="27">
    <w:name w:val="标题 1 Char"/>
    <w:basedOn w:val="19"/>
    <w:link w:val="2"/>
    <w:uiPriority w:val="0"/>
    <w:rPr>
      <w:rFonts w:ascii="Times New Roman" w:hAnsi="Times New Roman" w:eastAsia="宋体" w:cs="Times New Roman"/>
      <w:b/>
      <w:bCs/>
      <w:kern w:val="44"/>
      <w:sz w:val="28"/>
      <w:szCs w:val="44"/>
    </w:rPr>
  </w:style>
  <w:style w:type="character" w:customStyle="1" w:styleId="28">
    <w:name w:val="标题 2 Char"/>
    <w:basedOn w:val="19"/>
    <w:link w:val="3"/>
    <w:uiPriority w:val="0"/>
    <w:rPr>
      <w:rFonts w:ascii="Arial" w:hAnsi="Arial" w:eastAsia="宋体" w:cs="Times New Roman"/>
      <w:b/>
      <w:bCs/>
      <w:sz w:val="28"/>
      <w:szCs w:val="32"/>
    </w:rPr>
  </w:style>
  <w:style w:type="character" w:customStyle="1" w:styleId="29">
    <w:name w:val="标题 3 Char"/>
    <w:basedOn w:val="19"/>
    <w:link w:val="4"/>
    <w:uiPriority w:val="0"/>
    <w:rPr>
      <w:rFonts w:ascii="Times New Roman" w:hAnsi="Times New Roman" w:eastAsia="宋体" w:cs="Times New Roman"/>
      <w:b/>
      <w:bCs/>
      <w:sz w:val="32"/>
      <w:szCs w:val="32"/>
    </w:rPr>
  </w:style>
  <w:style w:type="character" w:customStyle="1" w:styleId="30">
    <w:name w:val="标题 4 Char"/>
    <w:basedOn w:val="19"/>
    <w:link w:val="5"/>
    <w:uiPriority w:val="0"/>
    <w:rPr>
      <w:rFonts w:ascii="Cambria" w:hAnsi="Cambria" w:eastAsia="仿宋_GB2312" w:cs="Times New Roman"/>
      <w:b/>
      <w:bCs/>
      <w:sz w:val="28"/>
      <w:szCs w:val="28"/>
    </w:rPr>
  </w:style>
  <w:style w:type="character" w:customStyle="1" w:styleId="31">
    <w:name w:val="标题 5 Char"/>
    <w:basedOn w:val="19"/>
    <w:link w:val="6"/>
    <w:uiPriority w:val="0"/>
    <w:rPr>
      <w:rFonts w:ascii="Times New Roman" w:hAnsi="Times New Roman" w:eastAsia="宋体" w:cs="Times New Roman"/>
      <w:b/>
      <w:bCs/>
      <w:sz w:val="28"/>
      <w:szCs w:val="28"/>
    </w:rPr>
  </w:style>
  <w:style w:type="character" w:customStyle="1" w:styleId="32">
    <w:name w:val="标题 6 Char"/>
    <w:basedOn w:val="19"/>
    <w:link w:val="7"/>
    <w:uiPriority w:val="0"/>
    <w:rPr>
      <w:rFonts w:ascii="Arial" w:hAnsi="Arial" w:eastAsia="黑体" w:cs="Times New Roman"/>
      <w:b/>
      <w:bCs/>
      <w:sz w:val="24"/>
      <w:szCs w:val="24"/>
    </w:rPr>
  </w:style>
  <w:style w:type="paragraph" w:customStyle="1" w:styleId="33">
    <w:name w:val="正文内容"/>
    <w:basedOn w:val="1"/>
    <w:uiPriority w:val="0"/>
    <w:pPr>
      <w:ind w:firstLine="200" w:firstLineChars="200"/>
    </w:pPr>
    <w:rPr>
      <w:rFonts w:ascii="Times New Roman" w:hAnsi="Times New Roman" w:eastAsia="仿宋_GB2312" w:cs="宋体"/>
      <w:sz w:val="24"/>
      <w:szCs w:val="20"/>
    </w:rPr>
  </w:style>
  <w:style w:type="character" w:customStyle="1" w:styleId="34">
    <w:name w:val="textindent"/>
    <w:basedOn w:val="19"/>
    <w:uiPriority w:val="0"/>
  </w:style>
  <w:style w:type="character" w:customStyle="1" w:styleId="35">
    <w:name w:val="font105"/>
    <w:basedOn w:val="19"/>
    <w:uiPriority w:val="0"/>
  </w:style>
  <w:style w:type="paragraph" w:customStyle="1" w:styleId="36">
    <w:name w:val="表内文字"/>
    <w:basedOn w:val="1"/>
    <w:link w:val="37"/>
    <w:uiPriority w:val="0"/>
    <w:pPr>
      <w:spacing w:line="240" w:lineRule="exact"/>
      <w:ind w:firstLine="360" w:firstLineChars="200"/>
    </w:pPr>
    <w:rPr>
      <w:rFonts w:ascii="仿宋_GB2312" w:hAnsi="宋体" w:eastAsia="仿宋_GB2312" w:cs="宋体"/>
      <w:sz w:val="18"/>
      <w:szCs w:val="20"/>
    </w:rPr>
  </w:style>
  <w:style w:type="character" w:customStyle="1" w:styleId="37">
    <w:name w:val="表内文字 Char"/>
    <w:link w:val="36"/>
    <w:uiPriority w:val="0"/>
    <w:rPr>
      <w:rFonts w:ascii="仿宋_GB2312" w:hAnsi="宋体" w:eastAsia="仿宋_GB2312" w:cs="宋体"/>
      <w:sz w:val="18"/>
      <w:szCs w:val="20"/>
    </w:rPr>
  </w:style>
  <w:style w:type="character" w:customStyle="1" w:styleId="38">
    <w:name w:val="acool1"/>
    <w:uiPriority w:val="0"/>
    <w:rPr>
      <w:b/>
      <w:bCs/>
      <w:color w:val="CD3A10"/>
      <w:sz w:val="30"/>
      <w:szCs w:val="30"/>
    </w:rPr>
  </w:style>
  <w:style w:type="character" w:customStyle="1" w:styleId="39">
    <w:name w:val="t_tag"/>
    <w:basedOn w:val="19"/>
    <w:uiPriority w:val="0"/>
  </w:style>
  <w:style w:type="paragraph" w:customStyle="1" w:styleId="40">
    <w:name w:val=" Char1"/>
    <w:basedOn w:val="1"/>
    <w:semiHidden/>
    <w:uiPriority w:val="0"/>
    <w:pPr>
      <w:widowControl/>
      <w:spacing w:after="160" w:line="240" w:lineRule="exact"/>
      <w:jc w:val="left"/>
    </w:pPr>
    <w:rPr>
      <w:rFonts w:ascii="Verdana" w:hAnsi="Verdana"/>
      <w:kern w:val="0"/>
      <w:sz w:val="20"/>
      <w:szCs w:val="20"/>
      <w:lang w:eastAsia="en-US"/>
    </w:rPr>
  </w:style>
  <w:style w:type="paragraph" w:customStyle="1" w:styleId="41">
    <w:name w:val=" Char"/>
    <w:basedOn w:val="1"/>
    <w:semiHidden/>
    <w:uiPriority w:val="0"/>
    <w:pPr>
      <w:widowControl/>
      <w:spacing w:after="160" w:line="240" w:lineRule="exact"/>
      <w:jc w:val="left"/>
    </w:pPr>
    <w:rPr>
      <w:rFonts w:ascii="Verdana" w:hAnsi="Verdana" w:cs="Verdana"/>
      <w:kern w:val="0"/>
      <w:sz w:val="20"/>
      <w:szCs w:val="20"/>
      <w:lang w:eastAsia="en-US"/>
    </w:rPr>
  </w:style>
  <w:style w:type="paragraph" w:customStyle="1" w:styleId="42">
    <w:name w:val=" Char Char4 Char Char Char Char"/>
    <w:basedOn w:val="1"/>
    <w:semiHidden/>
    <w:uiPriority w:val="0"/>
    <w:pPr>
      <w:widowControl/>
      <w:spacing w:after="160" w:line="240" w:lineRule="exact"/>
      <w:jc w:val="left"/>
    </w:pPr>
    <w:rPr>
      <w:rFonts w:ascii="Verdana" w:hAnsi="Verdana"/>
      <w:kern w:val="0"/>
      <w:sz w:val="20"/>
      <w:szCs w:val="20"/>
      <w:lang w:eastAsia="en-US"/>
    </w:rPr>
  </w:style>
  <w:style w:type="character" w:customStyle="1" w:styleId="43">
    <w:name w:val="日期 Char"/>
    <w:basedOn w:val="19"/>
    <w:link w:val="11"/>
    <w:uiPriority w:val="0"/>
    <w:rPr>
      <w:rFonts w:ascii="Times New Roman" w:hAnsi="Times New Roman" w:eastAsia="宋体" w:cs="Times New Roman"/>
      <w:szCs w:val="24"/>
    </w:rPr>
  </w:style>
  <w:style w:type="paragraph" w:customStyle="1" w:styleId="44">
    <w:name w:val=" Char Char Char Char"/>
    <w:basedOn w:val="1"/>
    <w:semiHidden/>
    <w:uiPriority w:val="0"/>
    <w:pPr>
      <w:widowControl/>
      <w:spacing w:after="160" w:line="240" w:lineRule="exact"/>
      <w:jc w:val="left"/>
    </w:pPr>
    <w:rPr>
      <w:rFonts w:ascii="Verdana" w:hAnsi="Verdana"/>
      <w:kern w:val="0"/>
      <w:sz w:val="20"/>
      <w:szCs w:val="20"/>
      <w:lang w:eastAsia="en-US"/>
    </w:rPr>
  </w:style>
  <w:style w:type="character" w:customStyle="1" w:styleId="45">
    <w:name w:val="文档结构图 Char"/>
    <w:basedOn w:val="19"/>
    <w:link w:val="10"/>
    <w:semiHidden/>
    <w:uiPriority w:val="0"/>
    <w:rPr>
      <w:rFonts w:ascii="Times New Roman" w:hAnsi="Times New Roman" w:eastAsia="宋体" w:cs="Times New Roman"/>
      <w:szCs w:val="24"/>
      <w:shd w:val="clear" w:color="auto" w:fill="00008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czie</Company>
  <Pages>25</Pages>
  <Words>12380</Words>
  <Characters>12550</Characters>
  <Lines>90</Lines>
  <Paragraphs>25</Paragraphs>
  <TotalTime>1</TotalTime>
  <ScaleCrop>false</ScaleCrop>
  <LinksUpToDate>false</LinksUpToDate>
  <CharactersWithSpaces>12597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2019-10-11T02:56:00Z</dcterms:created>
  <dc:creator>陈川</dc:creator>
  <cp:lastModifiedBy>紫尾巴</cp:lastModifiedBy>
  <cp:lastPrinted>2019-10-11T08:38:00Z</cp:lastPrinted>
  <dcterms:modified xsi:type="dcterms:W3CDTF">2025-06-19T07:42:11Z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eyJoZGlkIjoiOGZkMWYzN2FjY2JmZWNlY2NmNjY3MDlhYTJjYjY3NDQiLCJ1c2VySWQiOiIzMDc5MDgxMDkifQ==</vt:lpwstr>
  </property>
  <property fmtid="{D5CDD505-2E9C-101B-9397-08002B2CF9AE}" pid="3" name="KSOProductBuildVer">
    <vt:lpwstr>2052-12.1.0.19770</vt:lpwstr>
  </property>
  <property fmtid="{D5CDD505-2E9C-101B-9397-08002B2CF9AE}" pid="4" name="ICV">
    <vt:lpwstr>C44A1EE5163241F48EBDF7C413B06047_12</vt:lpwstr>
  </property>
</Properties>
</file>