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41FF88">
      <w:pPr>
        <w:spacing w:after="156" w:afterLines="50"/>
        <w:jc w:val="center"/>
        <w:rPr>
          <w:rFonts w:ascii="黑体" w:hAnsi="黑体" w:eastAsia="黑体"/>
          <w:b/>
          <w:sz w:val="28"/>
          <w:szCs w:val="30"/>
        </w:rPr>
      </w:pPr>
      <w:r>
        <w:rPr>
          <w:rFonts w:ascii="黑体" w:hAnsi="黑体" w:eastAsia="黑体"/>
          <w:b/>
          <w:sz w:val="28"/>
          <w:szCs w:val="30"/>
        </w:rPr>
        <w:t>常州工程职业技术学院人才培养方案</w:t>
      </w:r>
      <w:r>
        <w:rPr>
          <w:rFonts w:hint="eastAsia" w:ascii="黑体" w:hAnsi="黑体" w:eastAsia="黑体"/>
          <w:b/>
          <w:sz w:val="28"/>
          <w:szCs w:val="30"/>
        </w:rPr>
        <w:t>论证</w:t>
      </w:r>
      <w:r>
        <w:rPr>
          <w:rFonts w:ascii="黑体" w:hAnsi="黑体" w:eastAsia="黑体"/>
          <w:b/>
          <w:sz w:val="28"/>
          <w:szCs w:val="30"/>
        </w:rPr>
        <w:t>表</w:t>
      </w:r>
    </w:p>
    <w:p w14:paraId="43C79FDE">
      <w:pPr>
        <w:spacing w:after="156" w:afterLines="50" w:line="360" w:lineRule="auto"/>
        <w:jc w:val="left"/>
        <w:rPr>
          <w:rFonts w:ascii="黑体" w:hAnsi="黑体" w:eastAsia="黑体"/>
          <w:b/>
          <w:sz w:val="24"/>
          <w:szCs w:val="30"/>
          <w:u w:val="single"/>
        </w:rPr>
      </w:pPr>
      <w:r>
        <w:rPr>
          <w:rFonts w:ascii="黑体" w:hAnsi="黑体" w:eastAsia="黑体"/>
          <w:b/>
          <w:sz w:val="24"/>
          <w:szCs w:val="30"/>
        </w:rPr>
        <w:t>专业名称</w:t>
      </w:r>
      <w:r>
        <w:rPr>
          <w:rFonts w:hint="eastAsia" w:ascii="黑体" w:hAnsi="黑体" w:eastAsia="黑体"/>
          <w:b/>
          <w:sz w:val="24"/>
          <w:szCs w:val="30"/>
        </w:rPr>
        <w:t>：</w:t>
      </w:r>
      <w:r>
        <w:rPr>
          <w:rFonts w:hint="eastAsia" w:ascii="黑体" w:hAnsi="黑体" w:eastAsia="黑体"/>
          <w:b/>
          <w:sz w:val="24"/>
          <w:szCs w:val="30"/>
          <w:u w:val="single"/>
        </w:rPr>
        <w:t xml:space="preserve"> </w:t>
      </w:r>
      <w:r>
        <w:rPr>
          <w:rFonts w:ascii="黑体" w:hAnsi="黑体" w:eastAsia="黑体"/>
          <w:b/>
          <w:sz w:val="24"/>
          <w:szCs w:val="30"/>
          <w:u w:val="single"/>
        </w:rPr>
        <w:t xml:space="preserve">           </w:t>
      </w:r>
      <w:r>
        <w:rPr>
          <w:rFonts w:ascii="黑体" w:hAnsi="黑体" w:eastAsia="黑体"/>
          <w:b/>
          <w:sz w:val="24"/>
          <w:szCs w:val="30"/>
        </w:rPr>
        <w:t>二级学院名称</w:t>
      </w:r>
      <w:r>
        <w:rPr>
          <w:rFonts w:hint="eastAsia" w:ascii="黑体" w:hAnsi="黑体" w:eastAsia="黑体"/>
          <w:b/>
          <w:sz w:val="24"/>
          <w:szCs w:val="30"/>
        </w:rPr>
        <w:t>：</w:t>
      </w:r>
      <w:r>
        <w:rPr>
          <w:rFonts w:hint="eastAsia" w:ascii="黑体" w:hAnsi="黑体" w:eastAsia="黑体"/>
          <w:b/>
          <w:sz w:val="24"/>
          <w:szCs w:val="30"/>
          <w:u w:val="single"/>
        </w:rPr>
        <w:t xml:space="preserve"> </w:t>
      </w:r>
      <w:r>
        <w:rPr>
          <w:rFonts w:ascii="黑体" w:hAnsi="黑体" w:eastAsia="黑体"/>
          <w:b/>
          <w:sz w:val="24"/>
          <w:szCs w:val="30"/>
          <w:u w:val="single"/>
        </w:rPr>
        <w:t xml:space="preserve">        </w:t>
      </w:r>
      <w:r>
        <w:rPr>
          <w:rFonts w:hint="eastAsia" w:ascii="黑体" w:hAnsi="黑体" w:eastAsia="黑体"/>
          <w:b/>
          <w:sz w:val="24"/>
          <w:szCs w:val="30"/>
        </w:rPr>
        <w:t xml:space="preserve"> </w:t>
      </w:r>
      <w:r>
        <w:rPr>
          <w:rFonts w:ascii="黑体" w:hAnsi="黑体" w:eastAsia="黑体"/>
          <w:b/>
          <w:sz w:val="24"/>
          <w:szCs w:val="30"/>
        </w:rPr>
        <w:t xml:space="preserve">  专业负责人</w:t>
      </w:r>
      <w:r>
        <w:rPr>
          <w:rFonts w:hint="eastAsia" w:ascii="黑体" w:hAnsi="黑体" w:eastAsia="黑体"/>
          <w:b/>
          <w:sz w:val="24"/>
          <w:szCs w:val="30"/>
        </w:rPr>
        <w:t>：</w:t>
      </w:r>
      <w:r>
        <w:rPr>
          <w:rFonts w:hint="eastAsia" w:ascii="黑体" w:hAnsi="黑体" w:eastAsia="黑体"/>
          <w:b/>
          <w:sz w:val="24"/>
          <w:szCs w:val="30"/>
          <w:u w:val="single"/>
        </w:rPr>
        <w:t xml:space="preserve"> </w:t>
      </w:r>
      <w:r>
        <w:rPr>
          <w:rFonts w:ascii="黑体" w:hAnsi="黑体" w:eastAsia="黑体"/>
          <w:b/>
          <w:sz w:val="24"/>
          <w:szCs w:val="30"/>
          <w:u w:val="single"/>
        </w:rPr>
        <w:t xml:space="preserve">            </w:t>
      </w:r>
    </w:p>
    <w:p w14:paraId="20D3E33C">
      <w:pPr>
        <w:spacing w:after="156" w:afterLines="50" w:line="360" w:lineRule="auto"/>
        <w:jc w:val="left"/>
        <w:rPr>
          <w:rFonts w:ascii="宋体" w:hAnsi="宋体" w:eastAsia="宋体" w:cs="宋体"/>
          <w:color w:val="000000"/>
          <w:kern w:val="0"/>
          <w:szCs w:val="21"/>
          <w:u w:val="single"/>
        </w:rPr>
      </w:pPr>
      <w:r>
        <w:rPr>
          <w:rFonts w:ascii="黑体" w:hAnsi="黑体" w:eastAsia="黑体"/>
          <w:b/>
          <w:sz w:val="24"/>
          <w:szCs w:val="30"/>
        </w:rPr>
        <w:t>专业建设</w:t>
      </w:r>
      <w:r>
        <w:rPr>
          <w:rFonts w:hint="eastAsia" w:ascii="黑体" w:hAnsi="黑体" w:eastAsia="黑体"/>
          <w:b/>
          <w:sz w:val="24"/>
          <w:szCs w:val="30"/>
        </w:rPr>
        <w:t>（理事会）</w:t>
      </w:r>
      <w:r>
        <w:rPr>
          <w:rFonts w:ascii="黑体" w:hAnsi="黑体" w:eastAsia="黑体"/>
          <w:b/>
          <w:sz w:val="24"/>
          <w:szCs w:val="30"/>
        </w:rPr>
        <w:t>指导委员会成员</w:t>
      </w:r>
      <w:r>
        <w:rPr>
          <w:rFonts w:hint="eastAsia" w:ascii="黑体" w:hAnsi="黑体" w:eastAsia="黑体"/>
          <w:b/>
          <w:sz w:val="24"/>
          <w:szCs w:val="30"/>
        </w:rPr>
        <w:t>：</w:t>
      </w:r>
      <w:r>
        <w:rPr>
          <w:rFonts w:ascii="黑体" w:hAnsi="黑体" w:eastAsia="黑体"/>
          <w:b/>
          <w:sz w:val="24"/>
          <w:szCs w:val="30"/>
          <w:u w:val="single"/>
        </w:rPr>
        <w:t xml:space="preserve">  </w:t>
      </w:r>
      <w:r>
        <w:rPr>
          <w:b/>
          <w:sz w:val="24"/>
          <w:szCs w:val="30"/>
          <w:u w:val="single"/>
        </w:rPr>
        <w:t xml:space="preserve">                                          </w:t>
      </w:r>
    </w:p>
    <w:tbl>
      <w:tblPr>
        <w:tblStyle w:val="4"/>
        <w:tblW w:w="8662" w:type="dxa"/>
        <w:tblInd w:w="93" w:type="dxa"/>
        <w:tblLayout w:type="autofit"/>
        <w:tblCellMar>
          <w:top w:w="0" w:type="dxa"/>
          <w:left w:w="108" w:type="dxa"/>
          <w:bottom w:w="0" w:type="dxa"/>
          <w:right w:w="108" w:type="dxa"/>
        </w:tblCellMar>
      </w:tblPr>
      <w:tblGrid>
        <w:gridCol w:w="1080"/>
        <w:gridCol w:w="6448"/>
        <w:gridCol w:w="1134"/>
      </w:tblGrid>
      <w:tr w14:paraId="7E67819B">
        <w:tblPrEx>
          <w:tblCellMar>
            <w:top w:w="0" w:type="dxa"/>
            <w:left w:w="108" w:type="dxa"/>
            <w:bottom w:w="0" w:type="dxa"/>
            <w:right w:w="108" w:type="dxa"/>
          </w:tblCellMar>
        </w:tblPrEx>
        <w:trPr>
          <w:trHeight w:val="1247" w:hRule="atLeast"/>
        </w:trPr>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4336FD04">
            <w:pPr>
              <w:widowControl/>
              <w:rPr>
                <w:rFonts w:ascii="宋体" w:hAnsi="宋体" w:eastAsia="宋体" w:cs="宋体"/>
                <w:b/>
                <w:color w:val="000000"/>
                <w:kern w:val="0"/>
                <w:szCs w:val="21"/>
              </w:rPr>
            </w:pPr>
            <w:r>
              <w:rPr>
                <w:rFonts w:hint="eastAsia" w:ascii="宋体" w:hAnsi="宋体" w:eastAsia="宋体" w:cs="宋体"/>
                <w:b/>
                <w:color w:val="000000"/>
                <w:kern w:val="0"/>
                <w:szCs w:val="21"/>
              </w:rPr>
              <w:t>审核项目</w:t>
            </w:r>
          </w:p>
        </w:tc>
        <w:tc>
          <w:tcPr>
            <w:tcW w:w="6448" w:type="dxa"/>
            <w:tcBorders>
              <w:top w:val="single" w:color="auto" w:sz="4" w:space="0"/>
              <w:left w:val="nil"/>
              <w:bottom w:val="single" w:color="auto" w:sz="4" w:space="0"/>
              <w:right w:val="single" w:color="auto" w:sz="4" w:space="0"/>
            </w:tcBorders>
            <w:shd w:val="clear" w:color="auto" w:fill="auto"/>
            <w:vAlign w:val="center"/>
          </w:tcPr>
          <w:p w14:paraId="13AAB595">
            <w:pPr>
              <w:widowControl/>
              <w:jc w:val="center"/>
              <w:rPr>
                <w:rFonts w:ascii="宋体" w:hAnsi="宋体" w:eastAsia="宋体" w:cs="宋体"/>
                <w:b/>
                <w:color w:val="000000"/>
                <w:kern w:val="0"/>
                <w:szCs w:val="21"/>
              </w:rPr>
            </w:pPr>
            <w:r>
              <w:rPr>
                <w:rFonts w:hint="eastAsia" w:ascii="宋体" w:hAnsi="宋体" w:eastAsia="宋体" w:cs="宋体"/>
                <w:b/>
                <w:color w:val="000000"/>
                <w:kern w:val="0"/>
                <w:szCs w:val="21"/>
              </w:rPr>
              <w:t>审核要点</w:t>
            </w:r>
          </w:p>
        </w:tc>
        <w:tc>
          <w:tcPr>
            <w:tcW w:w="1134" w:type="dxa"/>
            <w:tcBorders>
              <w:top w:val="single" w:color="auto" w:sz="4" w:space="0"/>
              <w:left w:val="nil"/>
              <w:bottom w:val="single" w:color="auto" w:sz="4" w:space="0"/>
              <w:right w:val="single" w:color="auto" w:sz="4" w:space="0"/>
            </w:tcBorders>
            <w:shd w:val="clear" w:color="auto" w:fill="auto"/>
            <w:vAlign w:val="center"/>
          </w:tcPr>
          <w:p w14:paraId="5A447710">
            <w:pPr>
              <w:widowControl/>
              <w:jc w:val="center"/>
              <w:rPr>
                <w:rFonts w:ascii="宋体" w:hAnsi="宋体" w:eastAsia="宋体" w:cs="宋体"/>
                <w:b/>
                <w:color w:val="000000"/>
                <w:kern w:val="0"/>
                <w:szCs w:val="21"/>
              </w:rPr>
            </w:pPr>
            <w:r>
              <w:rPr>
                <w:rFonts w:hint="eastAsia" w:ascii="宋体" w:hAnsi="宋体" w:eastAsia="宋体" w:cs="宋体"/>
                <w:b/>
                <w:color w:val="000000"/>
                <w:kern w:val="0"/>
                <w:szCs w:val="21"/>
              </w:rPr>
              <w:t>论证意见（是/否）</w:t>
            </w:r>
          </w:p>
        </w:tc>
      </w:tr>
      <w:tr w14:paraId="3138E8F4">
        <w:tblPrEx>
          <w:tblCellMar>
            <w:top w:w="0" w:type="dxa"/>
            <w:left w:w="108" w:type="dxa"/>
            <w:bottom w:w="0" w:type="dxa"/>
            <w:right w:w="108" w:type="dxa"/>
          </w:tblCellMar>
        </w:tblPrEx>
        <w:trPr>
          <w:trHeight w:val="742" w:hRule="atLeast"/>
        </w:trPr>
        <w:tc>
          <w:tcPr>
            <w:tcW w:w="1080" w:type="dxa"/>
            <w:vMerge w:val="restart"/>
            <w:tcBorders>
              <w:top w:val="nil"/>
              <w:left w:val="single" w:color="auto" w:sz="4" w:space="0"/>
              <w:right w:val="single" w:color="auto" w:sz="4" w:space="0"/>
            </w:tcBorders>
            <w:shd w:val="clear" w:color="auto" w:fill="auto"/>
            <w:vAlign w:val="center"/>
          </w:tcPr>
          <w:p w14:paraId="6E27C710">
            <w:pPr>
              <w:widowControl/>
              <w:rPr>
                <w:rFonts w:ascii="宋体" w:hAnsi="宋体" w:eastAsia="宋体" w:cs="宋体"/>
                <w:color w:val="000000"/>
                <w:kern w:val="0"/>
                <w:szCs w:val="21"/>
              </w:rPr>
            </w:pPr>
            <w:r>
              <w:rPr>
                <w:rFonts w:hint="eastAsia" w:ascii="宋体" w:hAnsi="宋体" w:eastAsia="宋体" w:cs="宋体"/>
                <w:color w:val="000000"/>
                <w:kern w:val="0"/>
                <w:szCs w:val="21"/>
              </w:rPr>
              <w:t>培养目标与培养规格</w:t>
            </w:r>
          </w:p>
        </w:tc>
        <w:tc>
          <w:tcPr>
            <w:tcW w:w="6448" w:type="dxa"/>
            <w:tcBorders>
              <w:top w:val="nil"/>
              <w:left w:val="nil"/>
              <w:bottom w:val="single" w:color="auto" w:sz="4" w:space="0"/>
              <w:right w:val="single" w:color="auto" w:sz="4" w:space="0"/>
            </w:tcBorders>
            <w:shd w:val="clear" w:color="auto" w:fill="auto"/>
            <w:vAlign w:val="center"/>
          </w:tcPr>
          <w:p w14:paraId="3BD21AC7">
            <w:pPr>
              <w:widowControl/>
              <w:rPr>
                <w:rFonts w:ascii="宋体" w:hAnsi="宋体" w:eastAsia="宋体" w:cs="宋体"/>
                <w:color w:val="000000"/>
                <w:kern w:val="0"/>
                <w:szCs w:val="21"/>
              </w:rPr>
            </w:pPr>
            <w:r>
              <w:rPr>
                <w:rFonts w:hint="eastAsia" w:ascii="宋体" w:hAnsi="宋体" w:eastAsia="宋体" w:cs="宋体"/>
                <w:color w:val="000000"/>
                <w:kern w:val="0"/>
                <w:szCs w:val="21"/>
              </w:rPr>
              <w:t>培养目标适应产业发展要求和专业发展趋势，符合学校办学定位</w:t>
            </w:r>
          </w:p>
        </w:tc>
        <w:tc>
          <w:tcPr>
            <w:tcW w:w="1134" w:type="dxa"/>
            <w:tcBorders>
              <w:top w:val="nil"/>
              <w:left w:val="nil"/>
              <w:bottom w:val="single" w:color="auto" w:sz="4" w:space="0"/>
              <w:right w:val="single" w:color="auto" w:sz="4" w:space="0"/>
            </w:tcBorders>
            <w:shd w:val="clear" w:color="auto" w:fill="auto"/>
            <w:vAlign w:val="center"/>
          </w:tcPr>
          <w:p w14:paraId="65A65D4E">
            <w:pPr>
              <w:widowControl/>
              <w:jc w:val="left"/>
              <w:rPr>
                <w:rFonts w:ascii="Calibri" w:hAnsi="Calibri" w:eastAsia="宋体" w:cs="宋体"/>
                <w:color w:val="000000"/>
                <w:kern w:val="0"/>
                <w:szCs w:val="21"/>
              </w:rPr>
            </w:pPr>
          </w:p>
        </w:tc>
      </w:tr>
      <w:tr w14:paraId="6E46959E">
        <w:tblPrEx>
          <w:tblCellMar>
            <w:top w:w="0" w:type="dxa"/>
            <w:left w:w="108" w:type="dxa"/>
            <w:bottom w:w="0" w:type="dxa"/>
            <w:right w:w="108" w:type="dxa"/>
          </w:tblCellMar>
        </w:tblPrEx>
        <w:trPr>
          <w:trHeight w:val="566" w:hRule="atLeast"/>
        </w:trPr>
        <w:tc>
          <w:tcPr>
            <w:tcW w:w="1080" w:type="dxa"/>
            <w:vMerge w:val="continue"/>
            <w:tcBorders>
              <w:left w:val="single" w:color="auto" w:sz="4" w:space="0"/>
              <w:right w:val="single" w:color="auto" w:sz="4" w:space="0"/>
            </w:tcBorders>
            <w:vAlign w:val="center"/>
          </w:tcPr>
          <w:p w14:paraId="26B96CDE">
            <w:pPr>
              <w:widowControl/>
              <w:jc w:val="left"/>
              <w:rPr>
                <w:rFonts w:ascii="宋体" w:hAnsi="宋体" w:eastAsia="宋体" w:cs="宋体"/>
                <w:color w:val="000000"/>
                <w:kern w:val="0"/>
                <w:szCs w:val="21"/>
              </w:rPr>
            </w:pPr>
          </w:p>
        </w:tc>
        <w:tc>
          <w:tcPr>
            <w:tcW w:w="6448" w:type="dxa"/>
            <w:tcBorders>
              <w:top w:val="nil"/>
              <w:left w:val="nil"/>
              <w:bottom w:val="single" w:color="auto" w:sz="4" w:space="0"/>
              <w:right w:val="single" w:color="auto" w:sz="4" w:space="0"/>
            </w:tcBorders>
            <w:shd w:val="clear" w:color="auto" w:fill="auto"/>
            <w:vAlign w:val="center"/>
          </w:tcPr>
          <w:p w14:paraId="6B87807A">
            <w:pPr>
              <w:widowControl/>
              <w:rPr>
                <w:rFonts w:ascii="宋体" w:hAnsi="宋体" w:eastAsia="宋体" w:cs="宋体"/>
                <w:color w:val="000000"/>
                <w:kern w:val="0"/>
                <w:szCs w:val="21"/>
              </w:rPr>
            </w:pPr>
            <w:r>
              <w:rPr>
                <w:rFonts w:hint="eastAsia" w:ascii="宋体" w:hAnsi="宋体" w:eastAsia="宋体" w:cs="宋体"/>
                <w:color w:val="000000"/>
                <w:kern w:val="0"/>
                <w:szCs w:val="21"/>
              </w:rPr>
              <w:t>培养目标描述清晰，目标阐述符合人才培养方案要求</w:t>
            </w:r>
          </w:p>
        </w:tc>
        <w:tc>
          <w:tcPr>
            <w:tcW w:w="1134" w:type="dxa"/>
            <w:tcBorders>
              <w:top w:val="nil"/>
              <w:left w:val="nil"/>
              <w:bottom w:val="single" w:color="auto" w:sz="4" w:space="0"/>
              <w:right w:val="single" w:color="auto" w:sz="4" w:space="0"/>
            </w:tcBorders>
            <w:shd w:val="clear" w:color="auto" w:fill="auto"/>
            <w:vAlign w:val="center"/>
          </w:tcPr>
          <w:p w14:paraId="357A599C">
            <w:pPr>
              <w:widowControl/>
              <w:jc w:val="left"/>
              <w:rPr>
                <w:rFonts w:ascii="Calibri" w:hAnsi="Calibri" w:eastAsia="宋体" w:cs="宋体"/>
                <w:color w:val="000000"/>
                <w:kern w:val="0"/>
                <w:szCs w:val="21"/>
              </w:rPr>
            </w:pPr>
          </w:p>
        </w:tc>
      </w:tr>
      <w:tr w14:paraId="126ACA32">
        <w:tblPrEx>
          <w:tblCellMar>
            <w:top w:w="0" w:type="dxa"/>
            <w:left w:w="108" w:type="dxa"/>
            <w:bottom w:w="0" w:type="dxa"/>
            <w:right w:w="108" w:type="dxa"/>
          </w:tblCellMar>
        </w:tblPrEx>
        <w:trPr>
          <w:trHeight w:val="555" w:hRule="atLeast"/>
        </w:trPr>
        <w:tc>
          <w:tcPr>
            <w:tcW w:w="1080" w:type="dxa"/>
            <w:vMerge w:val="continue"/>
            <w:tcBorders>
              <w:left w:val="single" w:color="auto" w:sz="4" w:space="0"/>
              <w:right w:val="single" w:color="auto" w:sz="4" w:space="0"/>
            </w:tcBorders>
            <w:vAlign w:val="center"/>
          </w:tcPr>
          <w:p w14:paraId="63601D0D">
            <w:pPr>
              <w:widowControl/>
              <w:jc w:val="left"/>
              <w:rPr>
                <w:rFonts w:ascii="宋体" w:hAnsi="宋体" w:eastAsia="宋体" w:cs="宋体"/>
                <w:color w:val="000000"/>
                <w:kern w:val="0"/>
                <w:szCs w:val="21"/>
              </w:rPr>
            </w:pPr>
          </w:p>
        </w:tc>
        <w:tc>
          <w:tcPr>
            <w:tcW w:w="6448" w:type="dxa"/>
            <w:tcBorders>
              <w:top w:val="nil"/>
              <w:left w:val="nil"/>
              <w:bottom w:val="single" w:color="auto" w:sz="4" w:space="0"/>
              <w:right w:val="single" w:color="auto" w:sz="4" w:space="0"/>
            </w:tcBorders>
            <w:shd w:val="clear" w:color="auto" w:fill="auto"/>
            <w:vAlign w:val="center"/>
          </w:tcPr>
          <w:p w14:paraId="31B396C0">
            <w:pPr>
              <w:widowControl/>
              <w:rPr>
                <w:rFonts w:ascii="宋体" w:hAnsi="宋体" w:eastAsia="宋体" w:cs="宋体"/>
                <w:color w:val="000000"/>
                <w:kern w:val="0"/>
                <w:szCs w:val="21"/>
              </w:rPr>
            </w:pPr>
            <w:r>
              <w:rPr>
                <w:rFonts w:hint="eastAsia" w:ascii="宋体" w:hAnsi="宋体" w:eastAsia="宋体" w:cs="宋体"/>
                <w:color w:val="000000"/>
                <w:kern w:val="0"/>
                <w:szCs w:val="21"/>
              </w:rPr>
              <w:t>培养规格（毕业要求）描述清晰，与培养目标能清晰对应</w:t>
            </w:r>
          </w:p>
        </w:tc>
        <w:tc>
          <w:tcPr>
            <w:tcW w:w="1134" w:type="dxa"/>
            <w:tcBorders>
              <w:top w:val="nil"/>
              <w:left w:val="nil"/>
              <w:bottom w:val="single" w:color="auto" w:sz="4" w:space="0"/>
              <w:right w:val="single" w:color="auto" w:sz="4" w:space="0"/>
            </w:tcBorders>
            <w:shd w:val="clear" w:color="auto" w:fill="auto"/>
            <w:vAlign w:val="center"/>
          </w:tcPr>
          <w:p w14:paraId="5887CFA5">
            <w:pPr>
              <w:widowControl/>
              <w:jc w:val="left"/>
              <w:rPr>
                <w:rFonts w:ascii="Calibri" w:hAnsi="Calibri" w:eastAsia="宋体" w:cs="宋体"/>
                <w:color w:val="000000"/>
                <w:kern w:val="0"/>
                <w:szCs w:val="21"/>
              </w:rPr>
            </w:pPr>
          </w:p>
        </w:tc>
      </w:tr>
      <w:tr w14:paraId="68CE3A01">
        <w:tblPrEx>
          <w:tblCellMar>
            <w:top w:w="0" w:type="dxa"/>
            <w:left w:w="108" w:type="dxa"/>
            <w:bottom w:w="0" w:type="dxa"/>
            <w:right w:w="108" w:type="dxa"/>
          </w:tblCellMar>
        </w:tblPrEx>
        <w:trPr>
          <w:trHeight w:val="555" w:hRule="atLeast"/>
        </w:trPr>
        <w:tc>
          <w:tcPr>
            <w:tcW w:w="1080" w:type="dxa"/>
            <w:vMerge w:val="continue"/>
            <w:tcBorders>
              <w:left w:val="single" w:color="auto" w:sz="4" w:space="0"/>
              <w:bottom w:val="single" w:color="auto" w:sz="4" w:space="0"/>
              <w:right w:val="single" w:color="auto" w:sz="4" w:space="0"/>
            </w:tcBorders>
            <w:vAlign w:val="center"/>
          </w:tcPr>
          <w:p w14:paraId="75F79436">
            <w:pPr>
              <w:widowControl/>
              <w:jc w:val="left"/>
              <w:rPr>
                <w:rFonts w:ascii="宋体" w:hAnsi="宋体" w:eastAsia="宋体" w:cs="宋体"/>
                <w:color w:val="000000"/>
                <w:kern w:val="0"/>
                <w:szCs w:val="21"/>
              </w:rPr>
            </w:pPr>
          </w:p>
        </w:tc>
        <w:tc>
          <w:tcPr>
            <w:tcW w:w="6448" w:type="dxa"/>
            <w:tcBorders>
              <w:top w:val="nil"/>
              <w:left w:val="nil"/>
              <w:bottom w:val="single" w:color="auto" w:sz="4" w:space="0"/>
              <w:right w:val="single" w:color="auto" w:sz="4" w:space="0"/>
            </w:tcBorders>
            <w:shd w:val="clear" w:color="auto" w:fill="auto"/>
            <w:vAlign w:val="center"/>
          </w:tcPr>
          <w:p w14:paraId="591B088F">
            <w:pPr>
              <w:widowControl/>
              <w:rPr>
                <w:rFonts w:ascii="宋体" w:hAnsi="宋体" w:eastAsia="宋体" w:cs="宋体"/>
                <w:color w:val="000000"/>
                <w:kern w:val="0"/>
                <w:szCs w:val="21"/>
              </w:rPr>
            </w:pPr>
            <w:r>
              <w:rPr>
                <w:rFonts w:hint="eastAsia" w:ascii="宋体" w:hAnsi="宋体" w:eastAsia="宋体" w:cs="宋体"/>
                <w:color w:val="000000"/>
                <w:kern w:val="0"/>
                <w:szCs w:val="21"/>
              </w:rPr>
              <w:t>毕业要求指标点与毕业要求能清晰对应，分解合理</w:t>
            </w:r>
          </w:p>
        </w:tc>
        <w:tc>
          <w:tcPr>
            <w:tcW w:w="1134" w:type="dxa"/>
            <w:tcBorders>
              <w:top w:val="nil"/>
              <w:left w:val="nil"/>
              <w:bottom w:val="single" w:color="auto" w:sz="4" w:space="0"/>
              <w:right w:val="single" w:color="auto" w:sz="4" w:space="0"/>
            </w:tcBorders>
            <w:shd w:val="clear" w:color="auto" w:fill="auto"/>
            <w:vAlign w:val="center"/>
          </w:tcPr>
          <w:p w14:paraId="59090D1A">
            <w:pPr>
              <w:widowControl/>
              <w:jc w:val="left"/>
              <w:rPr>
                <w:rFonts w:ascii="Calibri" w:hAnsi="Calibri" w:eastAsia="宋体" w:cs="宋体"/>
                <w:color w:val="000000"/>
                <w:kern w:val="0"/>
                <w:szCs w:val="21"/>
              </w:rPr>
            </w:pPr>
          </w:p>
        </w:tc>
      </w:tr>
      <w:tr w14:paraId="0062D617">
        <w:tblPrEx>
          <w:tblCellMar>
            <w:top w:w="0" w:type="dxa"/>
            <w:left w:w="108" w:type="dxa"/>
            <w:bottom w:w="0" w:type="dxa"/>
            <w:right w:w="108" w:type="dxa"/>
          </w:tblCellMar>
        </w:tblPrEx>
        <w:trPr>
          <w:trHeight w:val="704" w:hRule="atLeast"/>
        </w:trPr>
        <w:tc>
          <w:tcPr>
            <w:tcW w:w="1080" w:type="dxa"/>
            <w:vMerge w:val="restart"/>
            <w:tcBorders>
              <w:top w:val="nil"/>
              <w:left w:val="single" w:color="auto" w:sz="4" w:space="0"/>
              <w:bottom w:val="single" w:color="auto" w:sz="4" w:space="0"/>
              <w:right w:val="single" w:color="auto" w:sz="4" w:space="0"/>
            </w:tcBorders>
            <w:shd w:val="clear" w:color="auto" w:fill="auto"/>
            <w:vAlign w:val="center"/>
          </w:tcPr>
          <w:p w14:paraId="5A52A22D">
            <w:pPr>
              <w:widowControl/>
              <w:rPr>
                <w:rFonts w:ascii="宋体" w:hAnsi="宋体" w:eastAsia="宋体" w:cs="宋体"/>
                <w:color w:val="000000"/>
                <w:kern w:val="0"/>
                <w:szCs w:val="21"/>
              </w:rPr>
            </w:pPr>
            <w:r>
              <w:rPr>
                <w:rFonts w:hint="eastAsia" w:ascii="宋体" w:hAnsi="宋体" w:eastAsia="宋体" w:cs="宋体"/>
                <w:color w:val="000000"/>
                <w:kern w:val="0"/>
                <w:szCs w:val="21"/>
              </w:rPr>
              <w:t>课程体系</w:t>
            </w:r>
          </w:p>
        </w:tc>
        <w:tc>
          <w:tcPr>
            <w:tcW w:w="6448" w:type="dxa"/>
            <w:tcBorders>
              <w:top w:val="nil"/>
              <w:left w:val="nil"/>
              <w:bottom w:val="single" w:color="auto" w:sz="4" w:space="0"/>
              <w:right w:val="single" w:color="auto" w:sz="4" w:space="0"/>
            </w:tcBorders>
            <w:shd w:val="clear" w:color="auto" w:fill="auto"/>
            <w:vAlign w:val="center"/>
          </w:tcPr>
          <w:p w14:paraId="1F9B9A01">
            <w:pPr>
              <w:widowControl/>
              <w:rPr>
                <w:rFonts w:ascii="宋体" w:hAnsi="宋体" w:eastAsia="宋体" w:cs="宋体"/>
                <w:color w:val="000000"/>
                <w:kern w:val="0"/>
                <w:szCs w:val="21"/>
              </w:rPr>
            </w:pPr>
            <w:r>
              <w:rPr>
                <w:rFonts w:hint="eastAsia" w:ascii="宋体" w:hAnsi="宋体" w:eastAsia="宋体" w:cs="宋体"/>
                <w:color w:val="000000"/>
                <w:kern w:val="0"/>
                <w:szCs w:val="21"/>
              </w:rPr>
              <w:t>课程体系设置能支撑培养目标、毕业要求的达成</w:t>
            </w:r>
          </w:p>
        </w:tc>
        <w:tc>
          <w:tcPr>
            <w:tcW w:w="1134" w:type="dxa"/>
            <w:tcBorders>
              <w:top w:val="nil"/>
              <w:left w:val="nil"/>
              <w:bottom w:val="single" w:color="auto" w:sz="4" w:space="0"/>
              <w:right w:val="single" w:color="auto" w:sz="4" w:space="0"/>
            </w:tcBorders>
            <w:shd w:val="clear" w:color="auto" w:fill="auto"/>
            <w:vAlign w:val="center"/>
          </w:tcPr>
          <w:p w14:paraId="1D0C8BBE">
            <w:pPr>
              <w:widowControl/>
              <w:jc w:val="left"/>
              <w:rPr>
                <w:rFonts w:ascii="Calibri" w:hAnsi="Calibri" w:eastAsia="宋体" w:cs="宋体"/>
                <w:color w:val="000000"/>
                <w:kern w:val="0"/>
                <w:szCs w:val="21"/>
              </w:rPr>
            </w:pPr>
          </w:p>
        </w:tc>
      </w:tr>
      <w:tr w14:paraId="19C84BAC">
        <w:tblPrEx>
          <w:tblCellMar>
            <w:top w:w="0" w:type="dxa"/>
            <w:left w:w="108" w:type="dxa"/>
            <w:bottom w:w="0" w:type="dxa"/>
            <w:right w:w="108" w:type="dxa"/>
          </w:tblCellMar>
        </w:tblPrEx>
        <w:trPr>
          <w:trHeight w:val="1125" w:hRule="atLeast"/>
        </w:trPr>
        <w:tc>
          <w:tcPr>
            <w:tcW w:w="1080" w:type="dxa"/>
            <w:vMerge w:val="continue"/>
            <w:tcBorders>
              <w:top w:val="nil"/>
              <w:left w:val="single" w:color="auto" w:sz="4" w:space="0"/>
              <w:bottom w:val="single" w:color="auto" w:sz="4" w:space="0"/>
              <w:right w:val="single" w:color="auto" w:sz="4" w:space="0"/>
            </w:tcBorders>
            <w:vAlign w:val="center"/>
          </w:tcPr>
          <w:p w14:paraId="75209EEC">
            <w:pPr>
              <w:widowControl/>
              <w:jc w:val="left"/>
              <w:rPr>
                <w:rFonts w:ascii="宋体" w:hAnsi="宋体" w:eastAsia="宋体" w:cs="宋体"/>
                <w:color w:val="000000"/>
                <w:kern w:val="0"/>
                <w:szCs w:val="21"/>
              </w:rPr>
            </w:pPr>
          </w:p>
        </w:tc>
        <w:tc>
          <w:tcPr>
            <w:tcW w:w="6448" w:type="dxa"/>
            <w:tcBorders>
              <w:top w:val="nil"/>
              <w:left w:val="nil"/>
              <w:bottom w:val="single" w:color="auto" w:sz="4" w:space="0"/>
              <w:right w:val="single" w:color="auto" w:sz="4" w:space="0"/>
            </w:tcBorders>
            <w:shd w:val="clear" w:color="auto" w:fill="auto"/>
            <w:vAlign w:val="center"/>
          </w:tcPr>
          <w:p w14:paraId="58CD8C53">
            <w:pPr>
              <w:widowControl/>
              <w:rPr>
                <w:rFonts w:ascii="宋体" w:hAnsi="宋体" w:eastAsia="宋体" w:cs="宋体"/>
                <w:color w:val="000000"/>
                <w:kern w:val="0"/>
                <w:szCs w:val="21"/>
              </w:rPr>
            </w:pPr>
            <w:r>
              <w:rPr>
                <w:rFonts w:hint="eastAsia" w:ascii="宋体" w:hAnsi="宋体" w:eastAsia="宋体" w:cs="宋体"/>
                <w:color w:val="000000"/>
                <w:kern w:val="0"/>
                <w:szCs w:val="21"/>
              </w:rPr>
              <w:t>能按国家规定开齐开足公共基础课（通识课程），</w:t>
            </w:r>
            <w:r>
              <w:rPr>
                <w:rFonts w:hint="eastAsia" w:ascii="Calibri" w:hAnsi="Calibri" w:eastAsia="宋体" w:cs="宋体"/>
                <w:color w:val="000000"/>
                <w:kern w:val="0"/>
                <w:szCs w:val="21"/>
              </w:rPr>
              <w:t>思想政治理论课、体育、军事课、心理健康教育等课程列为公共基础必修课程；马克思主义理论类课程、党史国史、中华优秀传统文化、职业发展与就业指导、创新创业教育、信息技术、语文、数学、外语、健康教育、美育课程、职业素养等列为必修课或限定选修课</w:t>
            </w:r>
          </w:p>
        </w:tc>
        <w:tc>
          <w:tcPr>
            <w:tcW w:w="1134" w:type="dxa"/>
            <w:tcBorders>
              <w:top w:val="nil"/>
              <w:left w:val="nil"/>
              <w:bottom w:val="single" w:color="auto" w:sz="4" w:space="0"/>
              <w:right w:val="single" w:color="auto" w:sz="4" w:space="0"/>
            </w:tcBorders>
            <w:shd w:val="clear" w:color="auto" w:fill="auto"/>
            <w:vAlign w:val="center"/>
          </w:tcPr>
          <w:p w14:paraId="3D63FA58">
            <w:pPr>
              <w:widowControl/>
              <w:jc w:val="left"/>
              <w:rPr>
                <w:rFonts w:ascii="Calibri" w:hAnsi="Calibri" w:eastAsia="宋体" w:cs="宋体"/>
                <w:color w:val="000000"/>
                <w:kern w:val="0"/>
                <w:szCs w:val="21"/>
              </w:rPr>
            </w:pPr>
          </w:p>
        </w:tc>
      </w:tr>
      <w:tr w14:paraId="2F8488F7">
        <w:tblPrEx>
          <w:tblCellMar>
            <w:top w:w="0" w:type="dxa"/>
            <w:left w:w="108" w:type="dxa"/>
            <w:bottom w:w="0" w:type="dxa"/>
            <w:right w:w="108" w:type="dxa"/>
          </w:tblCellMar>
        </w:tblPrEx>
        <w:trPr>
          <w:trHeight w:val="1268" w:hRule="atLeast"/>
        </w:trPr>
        <w:tc>
          <w:tcPr>
            <w:tcW w:w="1080" w:type="dxa"/>
            <w:vMerge w:val="continue"/>
            <w:tcBorders>
              <w:top w:val="nil"/>
              <w:left w:val="single" w:color="auto" w:sz="4" w:space="0"/>
              <w:bottom w:val="single" w:color="auto" w:sz="4" w:space="0"/>
              <w:right w:val="single" w:color="auto" w:sz="4" w:space="0"/>
            </w:tcBorders>
            <w:vAlign w:val="center"/>
          </w:tcPr>
          <w:p w14:paraId="290706B6">
            <w:pPr>
              <w:widowControl/>
              <w:jc w:val="left"/>
              <w:rPr>
                <w:rFonts w:ascii="宋体" w:hAnsi="宋体" w:eastAsia="宋体" w:cs="宋体"/>
                <w:color w:val="000000"/>
                <w:kern w:val="0"/>
                <w:szCs w:val="21"/>
              </w:rPr>
            </w:pPr>
          </w:p>
        </w:tc>
        <w:tc>
          <w:tcPr>
            <w:tcW w:w="6448" w:type="dxa"/>
            <w:tcBorders>
              <w:top w:val="nil"/>
              <w:left w:val="nil"/>
              <w:bottom w:val="single" w:color="auto" w:sz="4" w:space="0"/>
              <w:right w:val="single" w:color="auto" w:sz="4" w:space="0"/>
            </w:tcBorders>
            <w:shd w:val="clear" w:color="auto" w:fill="auto"/>
            <w:vAlign w:val="center"/>
          </w:tcPr>
          <w:p w14:paraId="54744FD1">
            <w:pPr>
              <w:widowControl/>
              <w:rPr>
                <w:rFonts w:ascii="宋体" w:hAnsi="宋体" w:eastAsia="宋体" w:cs="宋体"/>
                <w:color w:val="000000"/>
                <w:kern w:val="0"/>
                <w:szCs w:val="21"/>
              </w:rPr>
            </w:pPr>
            <w:r>
              <w:rPr>
                <w:rFonts w:hint="eastAsia" w:ascii="宋体" w:hAnsi="宋体" w:eastAsia="宋体" w:cs="宋体"/>
                <w:color w:val="000000"/>
                <w:kern w:val="0"/>
                <w:szCs w:val="21"/>
              </w:rPr>
              <w:t>专业核心课程设置完整；</w:t>
            </w:r>
            <w:r>
              <w:rPr>
                <w:rFonts w:hint="eastAsia" w:ascii="Calibri" w:hAnsi="Calibri" w:eastAsia="宋体" w:cs="宋体"/>
                <w:color w:val="000000"/>
                <w:kern w:val="0"/>
                <w:szCs w:val="21"/>
              </w:rPr>
              <w:t>按照相应职业岗位（群）的能力要求，确定专业核心课程和若干门专业课程，</w:t>
            </w:r>
            <w:r>
              <w:rPr>
                <w:rFonts w:hint="eastAsia" w:ascii="宋体" w:hAnsi="宋体" w:eastAsia="宋体" w:cs="宋体"/>
                <w:color w:val="000000"/>
                <w:kern w:val="0"/>
                <w:szCs w:val="21"/>
              </w:rPr>
              <w:t>专业课程设置科学、合理，能体现专业特色</w:t>
            </w:r>
          </w:p>
        </w:tc>
        <w:tc>
          <w:tcPr>
            <w:tcW w:w="1134" w:type="dxa"/>
            <w:tcBorders>
              <w:top w:val="nil"/>
              <w:left w:val="nil"/>
              <w:bottom w:val="single" w:color="auto" w:sz="4" w:space="0"/>
              <w:right w:val="single" w:color="auto" w:sz="4" w:space="0"/>
            </w:tcBorders>
            <w:shd w:val="clear" w:color="auto" w:fill="auto"/>
            <w:vAlign w:val="center"/>
          </w:tcPr>
          <w:p w14:paraId="532DF40E">
            <w:pPr>
              <w:widowControl/>
              <w:jc w:val="left"/>
              <w:rPr>
                <w:rFonts w:ascii="Calibri" w:hAnsi="Calibri" w:eastAsia="宋体" w:cs="宋体"/>
                <w:color w:val="000000"/>
                <w:kern w:val="0"/>
                <w:szCs w:val="21"/>
              </w:rPr>
            </w:pPr>
          </w:p>
        </w:tc>
      </w:tr>
      <w:tr w14:paraId="24CD7852">
        <w:tblPrEx>
          <w:tblCellMar>
            <w:top w:w="0" w:type="dxa"/>
            <w:left w:w="108" w:type="dxa"/>
            <w:bottom w:w="0" w:type="dxa"/>
            <w:right w:w="108" w:type="dxa"/>
          </w:tblCellMar>
        </w:tblPrEx>
        <w:trPr>
          <w:trHeight w:val="692" w:hRule="atLeast"/>
        </w:trPr>
        <w:tc>
          <w:tcPr>
            <w:tcW w:w="1080" w:type="dxa"/>
            <w:vMerge w:val="continue"/>
            <w:tcBorders>
              <w:top w:val="nil"/>
              <w:left w:val="single" w:color="auto" w:sz="4" w:space="0"/>
              <w:bottom w:val="single" w:color="auto" w:sz="4" w:space="0"/>
              <w:right w:val="single" w:color="auto" w:sz="4" w:space="0"/>
            </w:tcBorders>
            <w:vAlign w:val="center"/>
          </w:tcPr>
          <w:p w14:paraId="57E56DAB">
            <w:pPr>
              <w:widowControl/>
              <w:jc w:val="left"/>
              <w:rPr>
                <w:rFonts w:ascii="宋体" w:hAnsi="宋体" w:eastAsia="宋体" w:cs="宋体"/>
                <w:color w:val="000000"/>
                <w:kern w:val="0"/>
                <w:szCs w:val="21"/>
              </w:rPr>
            </w:pPr>
          </w:p>
        </w:tc>
        <w:tc>
          <w:tcPr>
            <w:tcW w:w="6448" w:type="dxa"/>
            <w:tcBorders>
              <w:top w:val="nil"/>
              <w:left w:val="nil"/>
              <w:bottom w:val="single" w:color="auto" w:sz="4" w:space="0"/>
              <w:right w:val="single" w:color="auto" w:sz="4" w:space="0"/>
            </w:tcBorders>
            <w:shd w:val="clear" w:color="auto" w:fill="auto"/>
            <w:vAlign w:val="center"/>
          </w:tcPr>
          <w:p w14:paraId="1AB99220">
            <w:pPr>
              <w:widowControl/>
              <w:rPr>
                <w:rFonts w:ascii="宋体" w:hAnsi="宋体" w:eastAsia="宋体" w:cs="宋体"/>
                <w:color w:val="000000"/>
                <w:kern w:val="0"/>
                <w:szCs w:val="21"/>
              </w:rPr>
            </w:pPr>
            <w:r>
              <w:rPr>
                <w:rFonts w:hint="eastAsia" w:ascii="宋体" w:hAnsi="宋体" w:eastAsia="宋体" w:cs="宋体"/>
                <w:color w:val="000000"/>
                <w:kern w:val="0"/>
                <w:szCs w:val="21"/>
              </w:rPr>
              <w:t>专业群人才培养方案中的专业大类平台课程在群内专业保持一致</w:t>
            </w:r>
          </w:p>
        </w:tc>
        <w:tc>
          <w:tcPr>
            <w:tcW w:w="1134" w:type="dxa"/>
            <w:tcBorders>
              <w:top w:val="nil"/>
              <w:left w:val="nil"/>
              <w:bottom w:val="single" w:color="auto" w:sz="4" w:space="0"/>
              <w:right w:val="single" w:color="auto" w:sz="4" w:space="0"/>
            </w:tcBorders>
            <w:shd w:val="clear" w:color="auto" w:fill="auto"/>
            <w:vAlign w:val="center"/>
          </w:tcPr>
          <w:p w14:paraId="42331FE5">
            <w:pPr>
              <w:widowControl/>
              <w:jc w:val="left"/>
              <w:rPr>
                <w:rFonts w:ascii="Calibri" w:hAnsi="Calibri" w:eastAsia="宋体" w:cs="宋体"/>
                <w:color w:val="000000"/>
                <w:kern w:val="0"/>
                <w:szCs w:val="21"/>
              </w:rPr>
            </w:pPr>
          </w:p>
        </w:tc>
      </w:tr>
      <w:tr w14:paraId="727D02C3">
        <w:tblPrEx>
          <w:tblCellMar>
            <w:top w:w="0" w:type="dxa"/>
            <w:left w:w="108" w:type="dxa"/>
            <w:bottom w:w="0" w:type="dxa"/>
            <w:right w:w="108" w:type="dxa"/>
          </w:tblCellMar>
        </w:tblPrEx>
        <w:trPr>
          <w:trHeight w:val="692" w:hRule="atLeast"/>
        </w:trPr>
        <w:tc>
          <w:tcPr>
            <w:tcW w:w="1080" w:type="dxa"/>
            <w:vMerge w:val="continue"/>
            <w:tcBorders>
              <w:top w:val="nil"/>
              <w:left w:val="single" w:color="auto" w:sz="4" w:space="0"/>
              <w:bottom w:val="single" w:color="auto" w:sz="4" w:space="0"/>
              <w:right w:val="single" w:color="auto" w:sz="4" w:space="0"/>
            </w:tcBorders>
            <w:vAlign w:val="center"/>
          </w:tcPr>
          <w:p w14:paraId="0C6BBFEC">
            <w:pPr>
              <w:widowControl/>
              <w:jc w:val="left"/>
              <w:rPr>
                <w:rFonts w:ascii="宋体" w:hAnsi="宋体" w:eastAsia="宋体" w:cs="宋体"/>
                <w:color w:val="000000"/>
                <w:kern w:val="0"/>
                <w:szCs w:val="21"/>
              </w:rPr>
            </w:pPr>
          </w:p>
        </w:tc>
        <w:tc>
          <w:tcPr>
            <w:tcW w:w="6448" w:type="dxa"/>
            <w:tcBorders>
              <w:top w:val="nil"/>
              <w:left w:val="nil"/>
              <w:bottom w:val="single" w:color="auto" w:sz="4" w:space="0"/>
              <w:right w:val="single" w:color="auto" w:sz="4" w:space="0"/>
            </w:tcBorders>
            <w:shd w:val="clear" w:color="auto" w:fill="auto"/>
            <w:vAlign w:val="center"/>
          </w:tcPr>
          <w:p w14:paraId="717E2887">
            <w:pPr>
              <w:widowControl/>
              <w:rPr>
                <w:rFonts w:ascii="宋体" w:hAnsi="宋体" w:eastAsia="宋体" w:cs="宋体"/>
                <w:color w:val="000000"/>
                <w:kern w:val="0"/>
                <w:szCs w:val="21"/>
              </w:rPr>
            </w:pPr>
            <w:r>
              <w:rPr>
                <w:rFonts w:hint="eastAsia"/>
              </w:rPr>
              <w:t>培养方案专业核心课程内容涵盖国家专业教学标准中核心课程内容要求</w:t>
            </w:r>
          </w:p>
        </w:tc>
        <w:tc>
          <w:tcPr>
            <w:tcW w:w="1134" w:type="dxa"/>
            <w:tcBorders>
              <w:top w:val="nil"/>
              <w:left w:val="nil"/>
              <w:bottom w:val="single" w:color="auto" w:sz="4" w:space="0"/>
              <w:right w:val="single" w:color="auto" w:sz="4" w:space="0"/>
            </w:tcBorders>
            <w:shd w:val="clear" w:color="auto" w:fill="auto"/>
            <w:vAlign w:val="center"/>
          </w:tcPr>
          <w:p w14:paraId="3759F693">
            <w:pPr>
              <w:widowControl/>
              <w:jc w:val="left"/>
              <w:rPr>
                <w:rFonts w:ascii="Calibri" w:hAnsi="Calibri" w:eastAsia="宋体" w:cs="宋体"/>
                <w:color w:val="000000"/>
                <w:kern w:val="0"/>
                <w:szCs w:val="21"/>
              </w:rPr>
            </w:pPr>
          </w:p>
        </w:tc>
      </w:tr>
      <w:tr w14:paraId="2D6A2A90">
        <w:tblPrEx>
          <w:tblCellMar>
            <w:top w:w="0" w:type="dxa"/>
            <w:left w:w="108" w:type="dxa"/>
            <w:bottom w:w="0" w:type="dxa"/>
            <w:right w:w="108" w:type="dxa"/>
          </w:tblCellMar>
        </w:tblPrEx>
        <w:trPr>
          <w:trHeight w:val="704" w:hRule="atLeast"/>
        </w:trPr>
        <w:tc>
          <w:tcPr>
            <w:tcW w:w="1080" w:type="dxa"/>
            <w:vMerge w:val="continue"/>
            <w:tcBorders>
              <w:top w:val="nil"/>
              <w:left w:val="single" w:color="auto" w:sz="4" w:space="0"/>
              <w:bottom w:val="single" w:color="auto" w:sz="4" w:space="0"/>
              <w:right w:val="single" w:color="auto" w:sz="4" w:space="0"/>
            </w:tcBorders>
            <w:vAlign w:val="center"/>
          </w:tcPr>
          <w:p w14:paraId="40C45F22">
            <w:pPr>
              <w:widowControl/>
              <w:jc w:val="left"/>
              <w:rPr>
                <w:rFonts w:ascii="宋体" w:hAnsi="宋体" w:eastAsia="宋体" w:cs="宋体"/>
                <w:color w:val="000000"/>
                <w:kern w:val="0"/>
                <w:szCs w:val="21"/>
              </w:rPr>
            </w:pPr>
          </w:p>
        </w:tc>
        <w:tc>
          <w:tcPr>
            <w:tcW w:w="6448" w:type="dxa"/>
            <w:tcBorders>
              <w:top w:val="nil"/>
              <w:left w:val="nil"/>
              <w:bottom w:val="single" w:color="auto" w:sz="4" w:space="0"/>
              <w:right w:val="single" w:color="auto" w:sz="4" w:space="0"/>
            </w:tcBorders>
            <w:shd w:val="clear" w:color="auto" w:fill="auto"/>
            <w:vAlign w:val="center"/>
          </w:tcPr>
          <w:p w14:paraId="20DD226F">
            <w:pPr>
              <w:widowControl/>
              <w:rPr>
                <w:rFonts w:ascii="宋体" w:hAnsi="宋体" w:eastAsia="宋体" w:cs="宋体"/>
                <w:color w:val="000000"/>
                <w:kern w:val="0"/>
                <w:szCs w:val="21"/>
              </w:rPr>
            </w:pPr>
            <w:r>
              <w:rPr>
                <w:rFonts w:hint="eastAsia" w:ascii="Calibri" w:hAnsi="Calibri" w:eastAsia="宋体" w:cs="宋体"/>
                <w:color w:val="000000"/>
                <w:kern w:val="0"/>
                <w:szCs w:val="21"/>
              </w:rPr>
              <w:t>设置</w:t>
            </w:r>
            <w:r>
              <w:rPr>
                <w:rFonts w:hint="eastAsia" w:ascii="宋体" w:hAnsi="宋体" w:eastAsia="宋体" w:cs="宋体"/>
                <w:color w:val="000000"/>
                <w:kern w:val="0"/>
                <w:szCs w:val="21"/>
              </w:rPr>
              <w:t>有利于拓宽学生知识面、</w:t>
            </w:r>
            <w:r>
              <w:rPr>
                <w:rFonts w:hint="eastAsia" w:ascii="Calibri" w:hAnsi="Calibri" w:eastAsia="宋体" w:cs="宋体"/>
                <w:color w:val="000000"/>
                <w:kern w:val="0"/>
                <w:szCs w:val="21"/>
              </w:rPr>
              <w:t>反应职业领域最新科技信息、工艺流程和技术的专业拓展选修课</w:t>
            </w:r>
          </w:p>
        </w:tc>
        <w:tc>
          <w:tcPr>
            <w:tcW w:w="1134" w:type="dxa"/>
            <w:tcBorders>
              <w:top w:val="nil"/>
              <w:left w:val="nil"/>
              <w:bottom w:val="single" w:color="auto" w:sz="4" w:space="0"/>
              <w:right w:val="single" w:color="auto" w:sz="4" w:space="0"/>
            </w:tcBorders>
            <w:shd w:val="clear" w:color="auto" w:fill="auto"/>
            <w:vAlign w:val="center"/>
          </w:tcPr>
          <w:p w14:paraId="10DEE5C1">
            <w:pPr>
              <w:widowControl/>
              <w:jc w:val="left"/>
              <w:rPr>
                <w:rFonts w:ascii="Calibri" w:hAnsi="Calibri" w:eastAsia="宋体" w:cs="宋体"/>
                <w:color w:val="000000"/>
                <w:kern w:val="0"/>
                <w:szCs w:val="21"/>
              </w:rPr>
            </w:pPr>
          </w:p>
        </w:tc>
      </w:tr>
      <w:tr w14:paraId="3A7574C2">
        <w:tblPrEx>
          <w:tblCellMar>
            <w:top w:w="0" w:type="dxa"/>
            <w:left w:w="108" w:type="dxa"/>
            <w:bottom w:w="0" w:type="dxa"/>
            <w:right w:w="108" w:type="dxa"/>
          </w:tblCellMar>
        </w:tblPrEx>
        <w:trPr>
          <w:trHeight w:val="724" w:hRule="atLeast"/>
        </w:trPr>
        <w:tc>
          <w:tcPr>
            <w:tcW w:w="1080" w:type="dxa"/>
            <w:vMerge w:val="continue"/>
            <w:tcBorders>
              <w:top w:val="nil"/>
              <w:left w:val="single" w:color="auto" w:sz="4" w:space="0"/>
              <w:bottom w:val="single" w:color="auto" w:sz="4" w:space="0"/>
              <w:right w:val="single" w:color="auto" w:sz="4" w:space="0"/>
            </w:tcBorders>
            <w:vAlign w:val="center"/>
          </w:tcPr>
          <w:p w14:paraId="227D06EB">
            <w:pPr>
              <w:widowControl/>
              <w:jc w:val="left"/>
              <w:rPr>
                <w:rFonts w:ascii="宋体" w:hAnsi="宋体" w:eastAsia="宋体" w:cs="宋体"/>
                <w:color w:val="000000"/>
                <w:kern w:val="0"/>
                <w:szCs w:val="21"/>
              </w:rPr>
            </w:pPr>
          </w:p>
        </w:tc>
        <w:tc>
          <w:tcPr>
            <w:tcW w:w="6448" w:type="dxa"/>
            <w:tcBorders>
              <w:top w:val="nil"/>
              <w:left w:val="nil"/>
              <w:bottom w:val="single" w:color="auto" w:sz="4" w:space="0"/>
              <w:right w:val="single" w:color="auto" w:sz="4" w:space="0"/>
            </w:tcBorders>
            <w:shd w:val="clear" w:color="auto" w:fill="auto"/>
            <w:vAlign w:val="center"/>
          </w:tcPr>
          <w:p w14:paraId="485CCB1F">
            <w:pPr>
              <w:widowControl/>
              <w:rPr>
                <w:rFonts w:ascii="宋体" w:hAnsi="宋体" w:eastAsia="宋体" w:cs="宋体"/>
                <w:color w:val="000000"/>
                <w:kern w:val="0"/>
                <w:szCs w:val="21"/>
              </w:rPr>
            </w:pPr>
            <w:r>
              <w:rPr>
                <w:rFonts w:hint="eastAsia" w:ascii="宋体" w:hAnsi="宋体" w:eastAsia="宋体" w:cs="宋体"/>
                <w:color w:val="000000"/>
                <w:kern w:val="0"/>
                <w:szCs w:val="21"/>
              </w:rPr>
              <w:t>实践环节完整，设置科学合理；能全面支撑学生专业能力培养</w:t>
            </w:r>
          </w:p>
        </w:tc>
        <w:tc>
          <w:tcPr>
            <w:tcW w:w="1134" w:type="dxa"/>
            <w:tcBorders>
              <w:top w:val="nil"/>
              <w:left w:val="nil"/>
              <w:bottom w:val="single" w:color="auto" w:sz="4" w:space="0"/>
              <w:right w:val="single" w:color="auto" w:sz="4" w:space="0"/>
            </w:tcBorders>
            <w:shd w:val="clear" w:color="auto" w:fill="auto"/>
            <w:vAlign w:val="center"/>
          </w:tcPr>
          <w:p w14:paraId="2E0FA487">
            <w:pPr>
              <w:widowControl/>
              <w:jc w:val="left"/>
              <w:rPr>
                <w:rFonts w:ascii="Calibri" w:hAnsi="Calibri" w:eastAsia="宋体" w:cs="宋体"/>
                <w:color w:val="000000"/>
                <w:kern w:val="0"/>
                <w:szCs w:val="21"/>
              </w:rPr>
            </w:pPr>
          </w:p>
        </w:tc>
      </w:tr>
      <w:tr w14:paraId="181DAD09">
        <w:tblPrEx>
          <w:tblCellMar>
            <w:top w:w="0" w:type="dxa"/>
            <w:left w:w="108" w:type="dxa"/>
            <w:bottom w:w="0" w:type="dxa"/>
            <w:right w:w="108" w:type="dxa"/>
          </w:tblCellMar>
        </w:tblPrEx>
        <w:trPr>
          <w:trHeight w:val="522" w:hRule="atLeast"/>
        </w:trPr>
        <w:tc>
          <w:tcPr>
            <w:tcW w:w="1080" w:type="dxa"/>
            <w:vMerge w:val="restart"/>
            <w:tcBorders>
              <w:top w:val="nil"/>
              <w:left w:val="single" w:color="auto" w:sz="4" w:space="0"/>
              <w:bottom w:val="single" w:color="auto" w:sz="4" w:space="0"/>
              <w:right w:val="single" w:color="auto" w:sz="4" w:space="0"/>
            </w:tcBorders>
            <w:shd w:val="clear" w:color="auto" w:fill="auto"/>
            <w:vAlign w:val="center"/>
          </w:tcPr>
          <w:p w14:paraId="27FA03C6">
            <w:pPr>
              <w:widowControl/>
              <w:rPr>
                <w:rFonts w:ascii="宋体" w:hAnsi="宋体" w:eastAsia="宋体" w:cs="宋体"/>
                <w:color w:val="000000"/>
                <w:kern w:val="0"/>
                <w:szCs w:val="21"/>
              </w:rPr>
            </w:pPr>
            <w:r>
              <w:rPr>
                <w:rFonts w:hint="eastAsia" w:ascii="宋体" w:hAnsi="宋体" w:eastAsia="宋体" w:cs="宋体"/>
                <w:color w:val="000000"/>
                <w:kern w:val="0"/>
                <w:szCs w:val="21"/>
              </w:rPr>
              <w:t>学时及学分</w:t>
            </w:r>
          </w:p>
        </w:tc>
        <w:tc>
          <w:tcPr>
            <w:tcW w:w="6448" w:type="dxa"/>
            <w:tcBorders>
              <w:top w:val="nil"/>
              <w:left w:val="nil"/>
              <w:bottom w:val="single" w:color="auto" w:sz="4" w:space="0"/>
              <w:right w:val="single" w:color="auto" w:sz="4" w:space="0"/>
            </w:tcBorders>
            <w:shd w:val="clear" w:color="auto" w:fill="auto"/>
            <w:vAlign w:val="center"/>
          </w:tcPr>
          <w:p w14:paraId="09C2E5BB">
            <w:pPr>
              <w:widowControl/>
              <w:rPr>
                <w:rFonts w:ascii="宋体" w:hAnsi="宋体" w:eastAsia="宋体" w:cs="宋体"/>
                <w:color w:val="000000"/>
                <w:kern w:val="0"/>
                <w:szCs w:val="21"/>
              </w:rPr>
            </w:pPr>
            <w:r>
              <w:rPr>
                <w:rFonts w:hint="eastAsia" w:ascii="宋体" w:hAnsi="宋体" w:eastAsia="宋体" w:cs="宋体"/>
                <w:color w:val="000000"/>
                <w:kern w:val="0"/>
                <w:szCs w:val="21"/>
              </w:rPr>
              <w:t>总学分不低于</w:t>
            </w:r>
            <w:r>
              <w:rPr>
                <w:rFonts w:ascii="宋体" w:hAnsi="宋体" w:eastAsia="宋体" w:cs="宋体"/>
                <w:color w:val="000000"/>
                <w:kern w:val="0"/>
                <w:szCs w:val="21"/>
              </w:rPr>
              <w:t>150</w:t>
            </w:r>
            <w:r>
              <w:rPr>
                <w:rFonts w:hint="eastAsia" w:ascii="宋体" w:hAnsi="宋体" w:eastAsia="宋体" w:cs="宋体"/>
                <w:color w:val="000000"/>
                <w:kern w:val="0"/>
                <w:szCs w:val="21"/>
              </w:rPr>
              <w:t>学分</w:t>
            </w:r>
            <w:r>
              <w:rPr>
                <w:rFonts w:ascii="宋体" w:hAnsi="宋体" w:eastAsia="宋体" w:cs="宋体"/>
                <w:color w:val="000000"/>
                <w:kern w:val="0"/>
                <w:szCs w:val="21"/>
              </w:rPr>
              <w:t xml:space="preserve"> </w:t>
            </w:r>
          </w:p>
        </w:tc>
        <w:tc>
          <w:tcPr>
            <w:tcW w:w="1134" w:type="dxa"/>
            <w:tcBorders>
              <w:top w:val="nil"/>
              <w:left w:val="nil"/>
              <w:bottom w:val="single" w:color="auto" w:sz="4" w:space="0"/>
              <w:right w:val="single" w:color="auto" w:sz="4" w:space="0"/>
            </w:tcBorders>
            <w:shd w:val="clear" w:color="auto" w:fill="auto"/>
            <w:vAlign w:val="center"/>
          </w:tcPr>
          <w:p w14:paraId="02D2866B">
            <w:pPr>
              <w:widowControl/>
              <w:jc w:val="left"/>
              <w:rPr>
                <w:rFonts w:ascii="Calibri" w:hAnsi="Calibri" w:eastAsia="宋体" w:cs="宋体"/>
                <w:color w:val="000000"/>
                <w:kern w:val="0"/>
                <w:szCs w:val="21"/>
              </w:rPr>
            </w:pPr>
          </w:p>
        </w:tc>
      </w:tr>
      <w:tr w14:paraId="6F81E669">
        <w:tblPrEx>
          <w:tblCellMar>
            <w:top w:w="0" w:type="dxa"/>
            <w:left w:w="108" w:type="dxa"/>
            <w:bottom w:w="0" w:type="dxa"/>
            <w:right w:w="108" w:type="dxa"/>
          </w:tblCellMar>
        </w:tblPrEx>
        <w:trPr>
          <w:trHeight w:val="544" w:hRule="atLeast"/>
        </w:trPr>
        <w:tc>
          <w:tcPr>
            <w:tcW w:w="1080" w:type="dxa"/>
            <w:vMerge w:val="continue"/>
            <w:tcBorders>
              <w:top w:val="nil"/>
              <w:left w:val="single" w:color="auto" w:sz="4" w:space="0"/>
              <w:bottom w:val="single" w:color="auto" w:sz="4" w:space="0"/>
              <w:right w:val="single" w:color="auto" w:sz="4" w:space="0"/>
            </w:tcBorders>
            <w:vAlign w:val="center"/>
          </w:tcPr>
          <w:p w14:paraId="70C19512">
            <w:pPr>
              <w:widowControl/>
              <w:jc w:val="left"/>
              <w:rPr>
                <w:rFonts w:ascii="宋体" w:hAnsi="宋体" w:eastAsia="宋体" w:cs="宋体"/>
                <w:color w:val="000000"/>
                <w:kern w:val="0"/>
                <w:szCs w:val="21"/>
              </w:rPr>
            </w:pPr>
          </w:p>
        </w:tc>
        <w:tc>
          <w:tcPr>
            <w:tcW w:w="6448" w:type="dxa"/>
            <w:tcBorders>
              <w:top w:val="nil"/>
              <w:left w:val="nil"/>
              <w:bottom w:val="single" w:color="auto" w:sz="4" w:space="0"/>
              <w:right w:val="single" w:color="auto" w:sz="4" w:space="0"/>
            </w:tcBorders>
            <w:shd w:val="clear" w:color="auto" w:fill="auto"/>
            <w:vAlign w:val="center"/>
          </w:tcPr>
          <w:p w14:paraId="2D17945B">
            <w:pPr>
              <w:widowControl/>
              <w:rPr>
                <w:rFonts w:ascii="宋体" w:hAnsi="宋体" w:eastAsia="宋体" w:cs="宋体"/>
                <w:color w:val="000000"/>
                <w:kern w:val="0"/>
                <w:szCs w:val="21"/>
              </w:rPr>
            </w:pPr>
            <w:r>
              <w:rPr>
                <w:rFonts w:hint="eastAsia" w:ascii="宋体" w:hAnsi="宋体" w:eastAsia="宋体" w:cs="宋体"/>
                <w:color w:val="000000"/>
                <w:kern w:val="0"/>
                <w:szCs w:val="21"/>
              </w:rPr>
              <w:t>公共基础课程（通识课程）学时应当不少于总学时的1/4</w:t>
            </w:r>
          </w:p>
        </w:tc>
        <w:tc>
          <w:tcPr>
            <w:tcW w:w="1134" w:type="dxa"/>
            <w:tcBorders>
              <w:top w:val="nil"/>
              <w:left w:val="nil"/>
              <w:bottom w:val="single" w:color="auto" w:sz="4" w:space="0"/>
              <w:right w:val="single" w:color="auto" w:sz="4" w:space="0"/>
            </w:tcBorders>
            <w:shd w:val="clear" w:color="auto" w:fill="auto"/>
            <w:vAlign w:val="center"/>
          </w:tcPr>
          <w:p w14:paraId="66DC9660">
            <w:pPr>
              <w:widowControl/>
              <w:jc w:val="left"/>
              <w:rPr>
                <w:rFonts w:ascii="Calibri" w:hAnsi="Calibri" w:eastAsia="宋体" w:cs="宋体"/>
                <w:color w:val="000000"/>
                <w:kern w:val="0"/>
                <w:szCs w:val="21"/>
              </w:rPr>
            </w:pPr>
          </w:p>
        </w:tc>
      </w:tr>
      <w:tr w14:paraId="62E6795F">
        <w:tblPrEx>
          <w:tblCellMar>
            <w:top w:w="0" w:type="dxa"/>
            <w:left w:w="108" w:type="dxa"/>
            <w:bottom w:w="0" w:type="dxa"/>
            <w:right w:w="108" w:type="dxa"/>
          </w:tblCellMar>
        </w:tblPrEx>
        <w:trPr>
          <w:trHeight w:val="705" w:hRule="atLeast"/>
        </w:trPr>
        <w:tc>
          <w:tcPr>
            <w:tcW w:w="1080" w:type="dxa"/>
            <w:vMerge w:val="continue"/>
            <w:tcBorders>
              <w:top w:val="nil"/>
              <w:left w:val="single" w:color="auto" w:sz="4" w:space="0"/>
              <w:bottom w:val="single" w:color="auto" w:sz="4" w:space="0"/>
              <w:right w:val="single" w:color="auto" w:sz="4" w:space="0"/>
            </w:tcBorders>
            <w:vAlign w:val="center"/>
          </w:tcPr>
          <w:p w14:paraId="3599A64C">
            <w:pPr>
              <w:widowControl/>
              <w:jc w:val="left"/>
              <w:rPr>
                <w:rFonts w:ascii="宋体" w:hAnsi="宋体" w:eastAsia="宋体" w:cs="宋体"/>
                <w:color w:val="000000"/>
                <w:kern w:val="0"/>
                <w:szCs w:val="21"/>
              </w:rPr>
            </w:pPr>
          </w:p>
        </w:tc>
        <w:tc>
          <w:tcPr>
            <w:tcW w:w="6448" w:type="dxa"/>
            <w:tcBorders>
              <w:top w:val="nil"/>
              <w:left w:val="nil"/>
              <w:bottom w:val="single" w:color="auto" w:sz="4" w:space="0"/>
              <w:right w:val="single" w:color="auto" w:sz="4" w:space="0"/>
            </w:tcBorders>
            <w:shd w:val="clear" w:color="auto" w:fill="auto"/>
            <w:vAlign w:val="center"/>
          </w:tcPr>
          <w:p w14:paraId="6187C4D8">
            <w:pPr>
              <w:widowControl/>
              <w:rPr>
                <w:rFonts w:ascii="宋体" w:hAnsi="宋体" w:eastAsia="宋体" w:cs="宋体"/>
                <w:color w:val="000000"/>
                <w:kern w:val="0"/>
                <w:szCs w:val="21"/>
              </w:rPr>
            </w:pPr>
            <w:r>
              <w:rPr>
                <w:rFonts w:hint="eastAsia" w:ascii="宋体" w:hAnsi="宋体" w:eastAsia="宋体" w:cs="宋体"/>
                <w:color w:val="000000"/>
                <w:kern w:val="0"/>
                <w:szCs w:val="21"/>
              </w:rPr>
              <w:t>选修课教学时数占总学时的比例均应当不少于10%</w:t>
            </w:r>
          </w:p>
        </w:tc>
        <w:tc>
          <w:tcPr>
            <w:tcW w:w="1134" w:type="dxa"/>
            <w:tcBorders>
              <w:top w:val="nil"/>
              <w:left w:val="nil"/>
              <w:bottom w:val="single" w:color="auto" w:sz="4" w:space="0"/>
              <w:right w:val="single" w:color="auto" w:sz="4" w:space="0"/>
            </w:tcBorders>
            <w:shd w:val="clear" w:color="auto" w:fill="auto"/>
            <w:vAlign w:val="center"/>
          </w:tcPr>
          <w:p w14:paraId="5E4CED54">
            <w:pPr>
              <w:widowControl/>
              <w:jc w:val="left"/>
              <w:rPr>
                <w:rFonts w:ascii="Calibri" w:hAnsi="Calibri" w:eastAsia="宋体" w:cs="宋体"/>
                <w:color w:val="000000"/>
                <w:kern w:val="0"/>
                <w:szCs w:val="21"/>
              </w:rPr>
            </w:pPr>
          </w:p>
        </w:tc>
      </w:tr>
      <w:tr w14:paraId="0EC0B8FC">
        <w:tblPrEx>
          <w:tblCellMar>
            <w:top w:w="0" w:type="dxa"/>
            <w:left w:w="108" w:type="dxa"/>
            <w:bottom w:w="0" w:type="dxa"/>
            <w:right w:w="108" w:type="dxa"/>
          </w:tblCellMar>
        </w:tblPrEx>
        <w:trPr>
          <w:trHeight w:val="715" w:hRule="atLeast"/>
        </w:trPr>
        <w:tc>
          <w:tcPr>
            <w:tcW w:w="1080" w:type="dxa"/>
            <w:vMerge w:val="continue"/>
            <w:tcBorders>
              <w:top w:val="nil"/>
              <w:left w:val="single" w:color="auto" w:sz="4" w:space="0"/>
              <w:bottom w:val="single" w:color="auto" w:sz="4" w:space="0"/>
              <w:right w:val="single" w:color="auto" w:sz="4" w:space="0"/>
            </w:tcBorders>
            <w:vAlign w:val="center"/>
          </w:tcPr>
          <w:p w14:paraId="5D54062D">
            <w:pPr>
              <w:widowControl/>
              <w:jc w:val="left"/>
              <w:rPr>
                <w:rFonts w:ascii="宋体" w:hAnsi="宋体" w:eastAsia="宋体" w:cs="宋体"/>
                <w:color w:val="000000"/>
                <w:kern w:val="0"/>
                <w:szCs w:val="21"/>
              </w:rPr>
            </w:pPr>
          </w:p>
        </w:tc>
        <w:tc>
          <w:tcPr>
            <w:tcW w:w="6448" w:type="dxa"/>
            <w:tcBorders>
              <w:top w:val="single" w:color="auto" w:sz="4" w:space="0"/>
              <w:left w:val="nil"/>
              <w:bottom w:val="single" w:color="auto" w:sz="4" w:space="0"/>
              <w:right w:val="single" w:color="auto" w:sz="4" w:space="0"/>
            </w:tcBorders>
            <w:shd w:val="clear" w:color="auto" w:fill="auto"/>
            <w:vAlign w:val="center"/>
          </w:tcPr>
          <w:p w14:paraId="73645F5B">
            <w:pPr>
              <w:widowControl/>
              <w:rPr>
                <w:rFonts w:ascii="宋体" w:hAnsi="宋体" w:eastAsia="宋体" w:cs="宋体"/>
                <w:color w:val="000000"/>
                <w:kern w:val="0"/>
                <w:szCs w:val="21"/>
              </w:rPr>
            </w:pPr>
            <w:r>
              <w:rPr>
                <w:rFonts w:hint="eastAsia" w:ascii="宋体" w:hAnsi="宋体" w:eastAsia="宋体" w:cs="宋体"/>
                <w:color w:val="000000"/>
                <w:kern w:val="0"/>
                <w:szCs w:val="21"/>
              </w:rPr>
              <w:t>实践性教学学时原则上占总学时数50%以上。学生顶岗实习时间一般为6个月</w:t>
            </w:r>
          </w:p>
        </w:tc>
        <w:tc>
          <w:tcPr>
            <w:tcW w:w="1134" w:type="dxa"/>
            <w:tcBorders>
              <w:top w:val="single" w:color="auto" w:sz="4" w:space="0"/>
              <w:left w:val="nil"/>
              <w:bottom w:val="single" w:color="auto" w:sz="4" w:space="0"/>
              <w:right w:val="single" w:color="auto" w:sz="4" w:space="0"/>
            </w:tcBorders>
            <w:shd w:val="clear" w:color="auto" w:fill="auto"/>
            <w:vAlign w:val="center"/>
          </w:tcPr>
          <w:p w14:paraId="17BD15C4">
            <w:pPr>
              <w:widowControl/>
              <w:jc w:val="left"/>
              <w:rPr>
                <w:rFonts w:ascii="Calibri" w:hAnsi="Calibri" w:eastAsia="宋体" w:cs="宋体"/>
                <w:color w:val="000000"/>
                <w:kern w:val="0"/>
                <w:szCs w:val="21"/>
              </w:rPr>
            </w:pPr>
          </w:p>
        </w:tc>
      </w:tr>
      <w:tr w14:paraId="5FF1E514">
        <w:tblPrEx>
          <w:tblCellMar>
            <w:top w:w="0" w:type="dxa"/>
            <w:left w:w="108" w:type="dxa"/>
            <w:bottom w:w="0" w:type="dxa"/>
            <w:right w:w="108" w:type="dxa"/>
          </w:tblCellMar>
        </w:tblPrEx>
        <w:trPr>
          <w:trHeight w:val="540" w:hRule="atLeast"/>
        </w:trPr>
        <w:tc>
          <w:tcPr>
            <w:tcW w:w="1080" w:type="dxa"/>
            <w:vMerge w:val="restart"/>
            <w:tcBorders>
              <w:top w:val="nil"/>
              <w:left w:val="single" w:color="auto" w:sz="4" w:space="0"/>
              <w:right w:val="single" w:color="auto" w:sz="4" w:space="0"/>
            </w:tcBorders>
            <w:shd w:val="clear" w:color="auto" w:fill="auto"/>
            <w:vAlign w:val="center"/>
          </w:tcPr>
          <w:p w14:paraId="6837ED2A">
            <w:pPr>
              <w:widowControl/>
              <w:rPr>
                <w:rFonts w:ascii="宋体" w:hAnsi="宋体" w:eastAsia="宋体" w:cs="宋体"/>
                <w:color w:val="000000"/>
                <w:kern w:val="0"/>
                <w:szCs w:val="21"/>
              </w:rPr>
            </w:pPr>
            <w:r>
              <w:rPr>
                <w:rFonts w:hint="eastAsia" w:ascii="宋体" w:hAnsi="宋体" w:eastAsia="宋体" w:cs="宋体"/>
                <w:color w:val="000000"/>
                <w:kern w:val="0"/>
                <w:szCs w:val="21"/>
              </w:rPr>
              <w:t>制定程序</w:t>
            </w:r>
          </w:p>
        </w:tc>
        <w:tc>
          <w:tcPr>
            <w:tcW w:w="6448" w:type="dxa"/>
            <w:tcBorders>
              <w:top w:val="nil"/>
              <w:left w:val="nil"/>
              <w:bottom w:val="single" w:color="auto" w:sz="4" w:space="0"/>
              <w:right w:val="single" w:color="auto" w:sz="4" w:space="0"/>
            </w:tcBorders>
            <w:shd w:val="clear" w:color="auto" w:fill="auto"/>
            <w:vAlign w:val="center"/>
          </w:tcPr>
          <w:p w14:paraId="2131FB30">
            <w:pPr>
              <w:widowControl/>
              <w:shd w:val="clear" w:color="auto" w:fill="FFFFFF"/>
              <w:spacing w:before="100" w:beforeAutospacing="1" w:after="100" w:afterAutospacing="1" w:line="480" w:lineRule="atLeast"/>
              <w:jc w:val="left"/>
              <w:rPr>
                <w:rFonts w:ascii="宋体" w:hAnsi="宋体" w:eastAsia="宋体" w:cs="宋体"/>
                <w:color w:val="000000"/>
                <w:kern w:val="0"/>
                <w:szCs w:val="21"/>
              </w:rPr>
            </w:pPr>
            <w:r>
              <w:rPr>
                <w:rFonts w:hint="eastAsia" w:ascii="宋体" w:hAnsi="宋体" w:eastAsia="宋体" w:cs="宋体"/>
                <w:color w:val="000000"/>
                <w:kern w:val="0"/>
                <w:szCs w:val="21"/>
              </w:rPr>
              <w:t>成立由行业企业专家、教科研人员、一线教师和学生（毕业生）代表组成的专业建设委员会，共同做好专业人才培养方案制（修）订工作。</w:t>
            </w:r>
          </w:p>
        </w:tc>
        <w:tc>
          <w:tcPr>
            <w:tcW w:w="1134" w:type="dxa"/>
            <w:tcBorders>
              <w:top w:val="nil"/>
              <w:left w:val="nil"/>
              <w:bottom w:val="single" w:color="auto" w:sz="4" w:space="0"/>
              <w:right w:val="single" w:color="auto" w:sz="4" w:space="0"/>
            </w:tcBorders>
            <w:shd w:val="clear" w:color="auto" w:fill="auto"/>
            <w:vAlign w:val="center"/>
          </w:tcPr>
          <w:p w14:paraId="2E900182">
            <w:pPr>
              <w:widowControl/>
              <w:jc w:val="left"/>
              <w:rPr>
                <w:rFonts w:ascii="Calibri" w:hAnsi="Calibri" w:eastAsia="宋体" w:cs="宋体"/>
                <w:color w:val="000000"/>
                <w:kern w:val="0"/>
                <w:szCs w:val="21"/>
              </w:rPr>
            </w:pPr>
          </w:p>
        </w:tc>
      </w:tr>
      <w:tr w14:paraId="542003A6">
        <w:tblPrEx>
          <w:tblCellMar>
            <w:top w:w="0" w:type="dxa"/>
            <w:left w:w="108" w:type="dxa"/>
            <w:bottom w:w="0" w:type="dxa"/>
            <w:right w:w="108" w:type="dxa"/>
          </w:tblCellMar>
        </w:tblPrEx>
        <w:trPr>
          <w:trHeight w:val="846" w:hRule="atLeast"/>
        </w:trPr>
        <w:tc>
          <w:tcPr>
            <w:tcW w:w="1080" w:type="dxa"/>
            <w:vMerge w:val="continue"/>
            <w:tcBorders>
              <w:left w:val="single" w:color="auto" w:sz="4" w:space="0"/>
              <w:right w:val="single" w:color="auto" w:sz="4" w:space="0"/>
            </w:tcBorders>
            <w:vAlign w:val="center"/>
          </w:tcPr>
          <w:p w14:paraId="160DA5AC">
            <w:pPr>
              <w:widowControl/>
              <w:jc w:val="left"/>
              <w:rPr>
                <w:rFonts w:ascii="宋体" w:hAnsi="宋体" w:eastAsia="宋体" w:cs="宋体"/>
                <w:color w:val="000000"/>
                <w:kern w:val="0"/>
                <w:szCs w:val="21"/>
              </w:rPr>
            </w:pPr>
          </w:p>
        </w:tc>
        <w:tc>
          <w:tcPr>
            <w:tcW w:w="6448" w:type="dxa"/>
            <w:tcBorders>
              <w:top w:val="nil"/>
              <w:left w:val="nil"/>
              <w:bottom w:val="single" w:color="auto" w:sz="4" w:space="0"/>
              <w:right w:val="single" w:color="auto" w:sz="4" w:space="0"/>
            </w:tcBorders>
            <w:shd w:val="clear" w:color="auto" w:fill="auto"/>
            <w:vAlign w:val="center"/>
          </w:tcPr>
          <w:p w14:paraId="28366FC5">
            <w:pPr>
              <w:widowControl/>
              <w:shd w:val="clear" w:color="auto" w:fill="FFFFFF"/>
              <w:spacing w:before="100" w:beforeAutospacing="1" w:after="100" w:afterAutospacing="1" w:line="480" w:lineRule="atLeast"/>
              <w:jc w:val="left"/>
              <w:rPr>
                <w:rFonts w:ascii="微软雅黑" w:hAnsi="微软雅黑" w:eastAsia="微软雅黑" w:cs="宋体"/>
                <w:color w:val="4B4B4B"/>
                <w:kern w:val="0"/>
                <w:sz w:val="24"/>
                <w:szCs w:val="24"/>
              </w:rPr>
            </w:pPr>
            <w:r>
              <w:rPr>
                <w:rFonts w:hint="eastAsia" w:ascii="宋体" w:hAnsi="宋体" w:eastAsia="宋体" w:cs="宋体"/>
                <w:color w:val="000000"/>
                <w:kern w:val="0"/>
                <w:szCs w:val="21"/>
              </w:rPr>
              <w:t>各专业建设委员会做好行业企业调研、学校调研、毕业生跟踪调研和在校生学情调研，形成专业人才培养调研报告。</w:t>
            </w:r>
          </w:p>
        </w:tc>
        <w:tc>
          <w:tcPr>
            <w:tcW w:w="1134" w:type="dxa"/>
            <w:tcBorders>
              <w:top w:val="nil"/>
              <w:left w:val="nil"/>
              <w:bottom w:val="single" w:color="auto" w:sz="4" w:space="0"/>
              <w:right w:val="single" w:color="auto" w:sz="4" w:space="0"/>
            </w:tcBorders>
            <w:shd w:val="clear" w:color="auto" w:fill="auto"/>
            <w:vAlign w:val="center"/>
          </w:tcPr>
          <w:p w14:paraId="1D1AA4EE">
            <w:pPr>
              <w:widowControl/>
              <w:jc w:val="left"/>
              <w:rPr>
                <w:rFonts w:ascii="Calibri" w:hAnsi="Calibri" w:eastAsia="宋体" w:cs="宋体"/>
                <w:color w:val="000000"/>
                <w:kern w:val="0"/>
                <w:szCs w:val="21"/>
              </w:rPr>
            </w:pPr>
          </w:p>
        </w:tc>
      </w:tr>
      <w:tr w14:paraId="7BF2DDF6">
        <w:tblPrEx>
          <w:tblCellMar>
            <w:top w:w="0" w:type="dxa"/>
            <w:left w:w="108" w:type="dxa"/>
            <w:bottom w:w="0" w:type="dxa"/>
            <w:right w:w="108" w:type="dxa"/>
          </w:tblCellMar>
        </w:tblPrEx>
        <w:trPr>
          <w:trHeight w:val="969" w:hRule="atLeast"/>
        </w:trPr>
        <w:tc>
          <w:tcPr>
            <w:tcW w:w="1080" w:type="dxa"/>
            <w:vMerge w:val="continue"/>
            <w:tcBorders>
              <w:left w:val="single" w:color="auto" w:sz="4" w:space="0"/>
              <w:right w:val="single" w:color="auto" w:sz="4" w:space="0"/>
            </w:tcBorders>
            <w:shd w:val="clear" w:color="auto" w:fill="auto"/>
            <w:vAlign w:val="center"/>
          </w:tcPr>
          <w:p w14:paraId="28547A84">
            <w:pPr>
              <w:widowControl/>
              <w:jc w:val="left"/>
              <w:rPr>
                <w:rFonts w:ascii="宋体" w:hAnsi="宋体" w:eastAsia="宋体" w:cs="宋体"/>
                <w:color w:val="000000"/>
                <w:kern w:val="0"/>
                <w:szCs w:val="21"/>
              </w:rPr>
            </w:pPr>
          </w:p>
        </w:tc>
        <w:tc>
          <w:tcPr>
            <w:tcW w:w="6448" w:type="dxa"/>
            <w:tcBorders>
              <w:top w:val="nil"/>
              <w:left w:val="nil"/>
              <w:bottom w:val="single" w:color="auto" w:sz="4" w:space="0"/>
              <w:right w:val="single" w:color="auto" w:sz="4" w:space="0"/>
            </w:tcBorders>
            <w:shd w:val="clear" w:color="auto" w:fill="auto"/>
            <w:vAlign w:val="center"/>
          </w:tcPr>
          <w:p w14:paraId="3399A230">
            <w:pPr>
              <w:widowControl/>
              <w:rPr>
                <w:rFonts w:ascii="宋体" w:hAnsi="宋体" w:eastAsia="宋体" w:cs="宋体"/>
                <w:color w:val="000000"/>
                <w:kern w:val="0"/>
                <w:szCs w:val="21"/>
              </w:rPr>
            </w:pPr>
            <w:r>
              <w:rPr>
                <w:rFonts w:hint="eastAsia" w:ascii="宋体" w:hAnsi="宋体" w:eastAsia="宋体" w:cs="宋体"/>
                <w:color w:val="000000"/>
                <w:kern w:val="0"/>
                <w:szCs w:val="21"/>
              </w:rPr>
              <w:t>组织由行业企业、教研机构、校内外一线教师和学生代表等参加的论证会</w:t>
            </w:r>
          </w:p>
        </w:tc>
        <w:tc>
          <w:tcPr>
            <w:tcW w:w="1134" w:type="dxa"/>
            <w:tcBorders>
              <w:top w:val="nil"/>
              <w:left w:val="nil"/>
              <w:bottom w:val="single" w:color="auto" w:sz="4" w:space="0"/>
              <w:right w:val="single" w:color="auto" w:sz="4" w:space="0"/>
            </w:tcBorders>
            <w:shd w:val="clear" w:color="auto" w:fill="auto"/>
            <w:vAlign w:val="center"/>
          </w:tcPr>
          <w:p w14:paraId="3BFB1B34">
            <w:pPr>
              <w:widowControl/>
              <w:jc w:val="left"/>
              <w:rPr>
                <w:rFonts w:ascii="Calibri" w:hAnsi="Calibri" w:eastAsia="宋体" w:cs="宋体"/>
                <w:color w:val="000000"/>
                <w:kern w:val="0"/>
                <w:szCs w:val="21"/>
              </w:rPr>
            </w:pPr>
          </w:p>
        </w:tc>
      </w:tr>
      <w:tr w14:paraId="13A5D617">
        <w:tblPrEx>
          <w:tblCellMar>
            <w:top w:w="0" w:type="dxa"/>
            <w:left w:w="108" w:type="dxa"/>
            <w:bottom w:w="0" w:type="dxa"/>
            <w:right w:w="108" w:type="dxa"/>
          </w:tblCellMar>
        </w:tblPrEx>
        <w:trPr>
          <w:trHeight w:val="970" w:hRule="atLeast"/>
        </w:trPr>
        <w:tc>
          <w:tcPr>
            <w:tcW w:w="1080" w:type="dxa"/>
            <w:vMerge w:val="continue"/>
            <w:tcBorders>
              <w:left w:val="single" w:color="auto" w:sz="4" w:space="0"/>
              <w:bottom w:val="single" w:color="auto" w:sz="4" w:space="0"/>
              <w:right w:val="single" w:color="auto" w:sz="4" w:space="0"/>
            </w:tcBorders>
            <w:shd w:val="clear" w:color="auto" w:fill="auto"/>
            <w:vAlign w:val="center"/>
          </w:tcPr>
          <w:p w14:paraId="1FF7F911">
            <w:pPr>
              <w:widowControl/>
              <w:jc w:val="left"/>
              <w:rPr>
                <w:rFonts w:ascii="宋体" w:hAnsi="宋体" w:eastAsia="宋体" w:cs="宋体"/>
                <w:color w:val="000000"/>
                <w:kern w:val="0"/>
                <w:szCs w:val="21"/>
              </w:rPr>
            </w:pPr>
          </w:p>
        </w:tc>
        <w:tc>
          <w:tcPr>
            <w:tcW w:w="6448" w:type="dxa"/>
            <w:tcBorders>
              <w:top w:val="single" w:color="auto" w:sz="4" w:space="0"/>
              <w:left w:val="nil"/>
              <w:bottom w:val="single" w:color="auto" w:sz="4" w:space="0"/>
              <w:right w:val="single" w:color="auto" w:sz="4" w:space="0"/>
            </w:tcBorders>
            <w:shd w:val="clear" w:color="auto" w:fill="auto"/>
            <w:vAlign w:val="center"/>
          </w:tcPr>
          <w:p w14:paraId="00840599">
            <w:pPr>
              <w:widowControl/>
              <w:rPr>
                <w:rFonts w:ascii="宋体" w:hAnsi="宋体" w:eastAsia="宋体" w:cs="宋体"/>
                <w:color w:val="000000"/>
                <w:kern w:val="0"/>
                <w:szCs w:val="21"/>
              </w:rPr>
            </w:pPr>
            <w:r>
              <w:rPr>
                <w:rFonts w:hint="eastAsia" w:ascii="宋体" w:hAnsi="宋体" w:eastAsia="宋体" w:cs="宋体"/>
                <w:color w:val="000000"/>
                <w:kern w:val="0"/>
                <w:szCs w:val="21"/>
              </w:rPr>
              <w:t>文本编制规范，完全符合专业人才培养方案编制指导意见的要求，方案无文字错误、无计算错误</w:t>
            </w:r>
          </w:p>
        </w:tc>
        <w:tc>
          <w:tcPr>
            <w:tcW w:w="1134" w:type="dxa"/>
            <w:tcBorders>
              <w:top w:val="single" w:color="auto" w:sz="4" w:space="0"/>
              <w:left w:val="nil"/>
              <w:bottom w:val="single" w:color="auto" w:sz="4" w:space="0"/>
              <w:right w:val="single" w:color="auto" w:sz="4" w:space="0"/>
            </w:tcBorders>
            <w:shd w:val="clear" w:color="auto" w:fill="auto"/>
            <w:vAlign w:val="center"/>
          </w:tcPr>
          <w:p w14:paraId="38D89A7E">
            <w:pPr>
              <w:widowControl/>
              <w:jc w:val="left"/>
              <w:rPr>
                <w:rFonts w:ascii="Calibri" w:hAnsi="Calibri" w:eastAsia="宋体" w:cs="宋体"/>
                <w:color w:val="000000"/>
                <w:kern w:val="0"/>
                <w:szCs w:val="21"/>
              </w:rPr>
            </w:pPr>
          </w:p>
        </w:tc>
      </w:tr>
      <w:tr w14:paraId="01D27C70">
        <w:tblPrEx>
          <w:tblCellMar>
            <w:top w:w="0" w:type="dxa"/>
            <w:left w:w="108" w:type="dxa"/>
            <w:bottom w:w="0" w:type="dxa"/>
            <w:right w:w="108" w:type="dxa"/>
          </w:tblCellMar>
        </w:tblPrEx>
        <w:trPr>
          <w:trHeight w:val="3113" w:hRule="atLeast"/>
        </w:trPr>
        <w:tc>
          <w:tcPr>
            <w:tcW w:w="1080" w:type="dxa"/>
            <w:vMerge w:val="restart"/>
            <w:tcBorders>
              <w:top w:val="single" w:color="auto" w:sz="4" w:space="0"/>
              <w:left w:val="single" w:color="auto" w:sz="4" w:space="0"/>
              <w:right w:val="single" w:color="auto" w:sz="4" w:space="0"/>
            </w:tcBorders>
            <w:vAlign w:val="center"/>
          </w:tcPr>
          <w:p w14:paraId="453EF77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论证结论</w:t>
            </w:r>
          </w:p>
        </w:tc>
        <w:tc>
          <w:tcPr>
            <w:tcW w:w="7582" w:type="dxa"/>
            <w:gridSpan w:val="2"/>
            <w:tcBorders>
              <w:top w:val="single" w:color="auto" w:sz="4" w:space="0"/>
              <w:left w:val="nil"/>
              <w:bottom w:val="single" w:color="auto" w:sz="4" w:space="0"/>
              <w:right w:val="single" w:color="auto" w:sz="4" w:space="0"/>
            </w:tcBorders>
            <w:shd w:val="clear" w:color="auto" w:fill="auto"/>
            <w:vAlign w:val="center"/>
          </w:tcPr>
          <w:p w14:paraId="540B50F5">
            <w:pPr>
              <w:widowControl/>
              <w:rPr>
                <w:rFonts w:ascii="宋体" w:hAnsi="宋体" w:eastAsia="宋体" w:cs="宋体"/>
                <w:color w:val="000000"/>
                <w:kern w:val="0"/>
                <w:szCs w:val="21"/>
              </w:rPr>
            </w:pPr>
          </w:p>
          <w:p w14:paraId="7682DED4">
            <w:pPr>
              <w:widowControl/>
              <w:ind w:firstLine="2730" w:firstLineChars="1300"/>
              <w:rPr>
                <w:rFonts w:ascii="宋体" w:hAnsi="宋体" w:eastAsia="宋体" w:cs="宋体"/>
                <w:color w:val="000000"/>
                <w:kern w:val="0"/>
                <w:szCs w:val="21"/>
              </w:rPr>
            </w:pPr>
            <w:r>
              <w:rPr>
                <w:rFonts w:hint="eastAsia" w:ascii="宋体" w:hAnsi="宋体" w:eastAsia="宋体" w:cs="宋体"/>
                <w:color w:val="000000"/>
                <w:kern w:val="0"/>
                <w:szCs w:val="21"/>
              </w:rPr>
              <w:t xml:space="preserve">完全符合 </w:t>
            </w:r>
            <w:r>
              <w:rPr>
                <w:rFonts w:ascii="宋体" w:hAnsi="宋体" w:eastAsia="宋体" w:cs="宋体"/>
                <w:color w:val="000000"/>
                <w:kern w:val="0"/>
                <w:szCs w:val="21"/>
              </w:rPr>
              <w:t xml:space="preserve"> </w:t>
            </w:r>
            <w:r>
              <w:rPr>
                <w:rFonts w:hint="eastAsia" w:ascii="宋体" w:hAnsi="宋体" w:eastAsia="宋体" w:cs="宋体"/>
                <w:color w:val="000000"/>
                <w:kern w:val="0"/>
                <w:szCs w:val="21"/>
              </w:rPr>
              <w:t>□</w:t>
            </w:r>
          </w:p>
          <w:p w14:paraId="2783DBA1">
            <w:pPr>
              <w:widowControl/>
              <w:rPr>
                <w:rFonts w:ascii="宋体" w:hAnsi="宋体" w:eastAsia="宋体" w:cs="宋体"/>
                <w:color w:val="000000"/>
                <w:kern w:val="0"/>
                <w:szCs w:val="21"/>
              </w:rPr>
            </w:pPr>
          </w:p>
          <w:p w14:paraId="3F2DC8FB">
            <w:pPr>
              <w:widowControl/>
              <w:ind w:firstLine="2730" w:firstLineChars="1300"/>
              <w:rPr>
                <w:rFonts w:ascii="宋体" w:hAnsi="宋体" w:eastAsia="宋体" w:cs="宋体"/>
                <w:color w:val="000000"/>
                <w:kern w:val="0"/>
                <w:szCs w:val="21"/>
              </w:rPr>
            </w:pPr>
            <w:r>
              <w:rPr>
                <w:rFonts w:ascii="宋体" w:hAnsi="宋体" w:eastAsia="宋体" w:cs="宋体"/>
                <w:color w:val="000000"/>
                <w:kern w:val="0"/>
                <w:szCs w:val="21"/>
              </w:rPr>
              <w:t>部分符合</w:t>
            </w:r>
            <w:r>
              <w:rPr>
                <w:rFonts w:hint="eastAsia" w:ascii="宋体" w:hAnsi="宋体" w:eastAsia="宋体" w:cs="宋体"/>
                <w:color w:val="000000"/>
                <w:kern w:val="0"/>
                <w:szCs w:val="21"/>
              </w:rPr>
              <w:t xml:space="preserve"> </w:t>
            </w:r>
            <w:r>
              <w:rPr>
                <w:rFonts w:ascii="宋体" w:hAnsi="宋体" w:eastAsia="宋体" w:cs="宋体"/>
                <w:color w:val="000000"/>
                <w:kern w:val="0"/>
                <w:szCs w:val="21"/>
              </w:rPr>
              <w:t xml:space="preserve"> </w:t>
            </w:r>
            <w:r>
              <w:rPr>
                <w:rFonts w:hint="eastAsia" w:ascii="宋体" w:hAnsi="宋体" w:eastAsia="宋体" w:cs="宋体"/>
                <w:color w:val="000000"/>
                <w:kern w:val="0"/>
                <w:szCs w:val="21"/>
              </w:rPr>
              <w:t>□</w:t>
            </w:r>
          </w:p>
          <w:p w14:paraId="0C2738B3">
            <w:pPr>
              <w:widowControl/>
              <w:rPr>
                <w:rFonts w:ascii="宋体" w:hAnsi="宋体" w:eastAsia="宋体" w:cs="宋体"/>
                <w:color w:val="000000"/>
                <w:kern w:val="0"/>
                <w:szCs w:val="21"/>
              </w:rPr>
            </w:pPr>
          </w:p>
          <w:p w14:paraId="7D2D00F3">
            <w:pPr>
              <w:widowControl/>
              <w:ind w:firstLine="2730" w:firstLineChars="1300"/>
              <w:rPr>
                <w:rFonts w:ascii="宋体" w:hAnsi="宋体" w:eastAsia="宋体" w:cs="宋体"/>
                <w:color w:val="000000"/>
                <w:kern w:val="0"/>
                <w:szCs w:val="21"/>
              </w:rPr>
            </w:pPr>
            <w:r>
              <w:rPr>
                <w:rFonts w:ascii="宋体" w:hAnsi="宋体" w:eastAsia="宋体" w:cs="宋体"/>
                <w:color w:val="000000"/>
                <w:kern w:val="0"/>
                <w:szCs w:val="21"/>
              </w:rPr>
              <w:t>不符合</w:t>
            </w:r>
            <w:r>
              <w:rPr>
                <w:rFonts w:hint="eastAsia" w:ascii="宋体" w:hAnsi="宋体" w:eastAsia="宋体" w:cs="宋体"/>
                <w:color w:val="000000"/>
                <w:kern w:val="0"/>
                <w:szCs w:val="21"/>
              </w:rPr>
              <w:t xml:space="preserve"> </w:t>
            </w:r>
            <w:r>
              <w:rPr>
                <w:rFonts w:ascii="宋体" w:hAnsi="宋体" w:eastAsia="宋体" w:cs="宋体"/>
                <w:color w:val="000000"/>
                <w:kern w:val="0"/>
                <w:szCs w:val="21"/>
              </w:rPr>
              <w:t xml:space="preserve">   </w:t>
            </w:r>
            <w:r>
              <w:rPr>
                <w:rFonts w:hint="eastAsia" w:ascii="宋体" w:hAnsi="宋体" w:eastAsia="宋体" w:cs="宋体"/>
                <w:color w:val="000000"/>
                <w:kern w:val="0"/>
                <w:szCs w:val="21"/>
              </w:rPr>
              <w:t>□</w:t>
            </w:r>
          </w:p>
          <w:p w14:paraId="45DF752B">
            <w:pPr>
              <w:widowControl/>
              <w:jc w:val="left"/>
              <w:rPr>
                <w:rFonts w:ascii="Calibri" w:hAnsi="Calibri" w:eastAsia="宋体" w:cs="宋体"/>
                <w:color w:val="000000"/>
                <w:kern w:val="0"/>
                <w:szCs w:val="21"/>
              </w:rPr>
            </w:pPr>
          </w:p>
        </w:tc>
      </w:tr>
      <w:tr w14:paraId="5BD2A7EE">
        <w:tblPrEx>
          <w:tblCellMar>
            <w:top w:w="0" w:type="dxa"/>
            <w:left w:w="108" w:type="dxa"/>
            <w:bottom w:w="0" w:type="dxa"/>
            <w:right w:w="108" w:type="dxa"/>
          </w:tblCellMar>
        </w:tblPrEx>
        <w:trPr>
          <w:trHeight w:val="5133" w:hRule="atLeast"/>
        </w:trPr>
        <w:tc>
          <w:tcPr>
            <w:tcW w:w="1080" w:type="dxa"/>
            <w:vMerge w:val="continue"/>
            <w:tcBorders>
              <w:left w:val="single" w:color="auto" w:sz="4" w:space="0"/>
              <w:bottom w:val="single" w:color="auto" w:sz="4" w:space="0"/>
              <w:right w:val="single" w:color="auto" w:sz="4" w:space="0"/>
            </w:tcBorders>
            <w:vAlign w:val="center"/>
          </w:tcPr>
          <w:p w14:paraId="3AFE7925">
            <w:pPr>
              <w:widowControl/>
              <w:jc w:val="left"/>
              <w:rPr>
                <w:rFonts w:ascii="宋体" w:hAnsi="宋体" w:eastAsia="宋体" w:cs="宋体"/>
                <w:color w:val="000000"/>
                <w:kern w:val="0"/>
                <w:szCs w:val="21"/>
              </w:rPr>
            </w:pPr>
          </w:p>
        </w:tc>
        <w:tc>
          <w:tcPr>
            <w:tcW w:w="7582" w:type="dxa"/>
            <w:gridSpan w:val="2"/>
            <w:tcBorders>
              <w:top w:val="single" w:color="auto" w:sz="4" w:space="0"/>
              <w:left w:val="nil"/>
              <w:bottom w:val="single" w:color="auto" w:sz="4" w:space="0"/>
              <w:right w:val="single" w:color="auto" w:sz="4" w:space="0"/>
            </w:tcBorders>
            <w:shd w:val="clear" w:color="auto" w:fill="auto"/>
            <w:vAlign w:val="center"/>
          </w:tcPr>
          <w:p w14:paraId="2EEA7428">
            <w:pPr>
              <w:widowControl/>
              <w:rPr>
                <w:rFonts w:ascii="宋体" w:hAnsi="宋体" w:eastAsia="宋体" w:cs="宋体"/>
                <w:color w:val="000000"/>
                <w:kern w:val="0"/>
                <w:szCs w:val="21"/>
              </w:rPr>
            </w:pPr>
            <w:r>
              <w:rPr>
                <w:rFonts w:hint="eastAsia" w:ascii="宋体" w:hAnsi="宋体" w:eastAsia="宋体" w:cs="宋体"/>
                <w:color w:val="000000"/>
                <w:kern w:val="0"/>
                <w:szCs w:val="21"/>
              </w:rPr>
              <w:t xml:space="preserve">                    </w:t>
            </w:r>
          </w:p>
          <w:p w14:paraId="186FAFFA">
            <w:pPr>
              <w:widowControl/>
              <w:rPr>
                <w:rFonts w:ascii="宋体" w:hAnsi="宋体" w:eastAsia="宋体" w:cs="宋体"/>
                <w:color w:val="000000"/>
                <w:kern w:val="0"/>
                <w:szCs w:val="21"/>
              </w:rPr>
            </w:pPr>
          </w:p>
          <w:p w14:paraId="35A16BDC">
            <w:pPr>
              <w:widowControl/>
              <w:rPr>
                <w:rFonts w:ascii="宋体" w:hAnsi="宋体" w:eastAsia="宋体" w:cs="宋体"/>
                <w:color w:val="000000"/>
                <w:kern w:val="0"/>
                <w:szCs w:val="21"/>
              </w:rPr>
            </w:pPr>
          </w:p>
          <w:p w14:paraId="1B92EFC3">
            <w:pPr>
              <w:widowControl/>
              <w:rPr>
                <w:rFonts w:ascii="宋体" w:hAnsi="宋体" w:eastAsia="宋体" w:cs="宋体"/>
                <w:color w:val="000000"/>
                <w:kern w:val="0"/>
                <w:szCs w:val="21"/>
              </w:rPr>
            </w:pPr>
          </w:p>
          <w:p w14:paraId="2E68AEE1">
            <w:pPr>
              <w:widowControl/>
              <w:rPr>
                <w:rFonts w:ascii="宋体" w:hAnsi="宋体" w:eastAsia="宋体" w:cs="宋体"/>
                <w:color w:val="000000"/>
                <w:kern w:val="0"/>
                <w:szCs w:val="21"/>
              </w:rPr>
            </w:pPr>
          </w:p>
          <w:p w14:paraId="3D7A1F3E">
            <w:pPr>
              <w:widowControl/>
              <w:rPr>
                <w:rFonts w:ascii="宋体" w:hAnsi="宋体" w:eastAsia="宋体" w:cs="宋体"/>
                <w:color w:val="000000"/>
                <w:kern w:val="0"/>
                <w:szCs w:val="21"/>
              </w:rPr>
            </w:pPr>
          </w:p>
          <w:p w14:paraId="6F0CB9B0">
            <w:pPr>
              <w:widowControl/>
              <w:rPr>
                <w:rFonts w:ascii="宋体" w:hAnsi="宋体" w:eastAsia="宋体" w:cs="宋体"/>
                <w:color w:val="000000"/>
                <w:kern w:val="0"/>
                <w:szCs w:val="21"/>
              </w:rPr>
            </w:pPr>
          </w:p>
          <w:p w14:paraId="4E23A264">
            <w:pPr>
              <w:widowControl/>
              <w:ind w:firstLine="2310" w:firstLineChars="1100"/>
              <w:rPr>
                <w:rFonts w:hint="eastAsia" w:ascii="宋体" w:hAnsi="宋体" w:eastAsia="宋体" w:cs="宋体"/>
                <w:color w:val="000000"/>
                <w:kern w:val="0"/>
                <w:szCs w:val="21"/>
              </w:rPr>
            </w:pPr>
          </w:p>
          <w:p w14:paraId="0D341143">
            <w:pPr>
              <w:widowControl/>
              <w:ind w:firstLine="2310" w:firstLineChars="1100"/>
              <w:rPr>
                <w:rFonts w:hint="eastAsia" w:ascii="宋体" w:hAnsi="宋体" w:eastAsia="宋体" w:cs="宋体"/>
                <w:color w:val="000000"/>
                <w:kern w:val="0"/>
                <w:szCs w:val="21"/>
              </w:rPr>
            </w:pPr>
          </w:p>
          <w:p w14:paraId="3FBE658D">
            <w:pPr>
              <w:widowControl/>
              <w:ind w:firstLine="2310" w:firstLineChars="1100"/>
              <w:rPr>
                <w:rFonts w:ascii="宋体" w:hAnsi="宋体" w:eastAsia="宋体" w:cs="宋体"/>
                <w:color w:val="000000"/>
                <w:kern w:val="0"/>
                <w:szCs w:val="21"/>
              </w:rPr>
            </w:pPr>
            <w:r>
              <w:rPr>
                <w:rFonts w:hint="eastAsia" w:ascii="宋体" w:hAnsi="宋体" w:eastAsia="宋体" w:cs="宋体"/>
                <w:color w:val="000000"/>
                <w:kern w:val="0"/>
                <w:szCs w:val="21"/>
              </w:rPr>
              <w:t>专业建设指导委员会主任（签字）：</w:t>
            </w:r>
          </w:p>
          <w:p w14:paraId="328F6983">
            <w:pPr>
              <w:widowControl/>
              <w:rPr>
                <w:rFonts w:ascii="宋体" w:hAnsi="宋体" w:eastAsia="宋体" w:cs="宋体"/>
                <w:color w:val="000000"/>
                <w:kern w:val="0"/>
                <w:szCs w:val="21"/>
              </w:rPr>
            </w:pPr>
          </w:p>
          <w:p w14:paraId="1D136B89">
            <w:pPr>
              <w:widowControl/>
              <w:ind w:firstLine="3150" w:firstLineChars="1500"/>
              <w:rPr>
                <w:rFonts w:ascii="宋体" w:hAnsi="宋体" w:eastAsia="宋体" w:cs="宋体"/>
                <w:color w:val="000000"/>
                <w:kern w:val="0"/>
                <w:szCs w:val="21"/>
              </w:rPr>
            </w:pPr>
          </w:p>
          <w:p w14:paraId="20CAFC50">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年        月       日</w:t>
            </w:r>
            <w:bookmarkStart w:id="0" w:name="_GoBack"/>
            <w:bookmarkEnd w:id="0"/>
          </w:p>
        </w:tc>
      </w:tr>
    </w:tbl>
    <w:p w14:paraId="54DA71DC">
      <w:pPr>
        <w:rPr>
          <w:rFonts w:hint="default" w:eastAsiaTheme="minorEastAsia"/>
          <w:szCs w:val="21"/>
          <w:lang w:val="en-US" w:eastAsia="zh-CN"/>
        </w:rPr>
      </w:pPr>
      <w:r>
        <w:rPr>
          <w:rFonts w:hint="eastAsia"/>
          <w:szCs w:val="21"/>
          <w:lang w:val="en-US" w:eastAsia="zh-CN"/>
        </w:rPr>
        <w:t>注：本表A4幅面双面打印</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79D27">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MwMGVjYWI4MTY2OGJiZjA3OTgwNjE0NjA1NWZhMDEifQ=="/>
  </w:docVars>
  <w:rsids>
    <w:rsidRoot w:val="00916356"/>
    <w:rsid w:val="00000B47"/>
    <w:rsid w:val="0000527B"/>
    <w:rsid w:val="0001517E"/>
    <w:rsid w:val="000155BF"/>
    <w:rsid w:val="00016111"/>
    <w:rsid w:val="00023B13"/>
    <w:rsid w:val="0002554C"/>
    <w:rsid w:val="000305A0"/>
    <w:rsid w:val="0003071D"/>
    <w:rsid w:val="00031D7F"/>
    <w:rsid w:val="00043F3E"/>
    <w:rsid w:val="000460E1"/>
    <w:rsid w:val="00050F51"/>
    <w:rsid w:val="000561C1"/>
    <w:rsid w:val="00060A06"/>
    <w:rsid w:val="000610BE"/>
    <w:rsid w:val="0006146F"/>
    <w:rsid w:val="000720A3"/>
    <w:rsid w:val="00072D01"/>
    <w:rsid w:val="00072DA7"/>
    <w:rsid w:val="0007798C"/>
    <w:rsid w:val="00084650"/>
    <w:rsid w:val="00084C09"/>
    <w:rsid w:val="00087620"/>
    <w:rsid w:val="00090AE8"/>
    <w:rsid w:val="00092204"/>
    <w:rsid w:val="00093F53"/>
    <w:rsid w:val="000967B8"/>
    <w:rsid w:val="000A0D1D"/>
    <w:rsid w:val="000A2AF0"/>
    <w:rsid w:val="000A2CC4"/>
    <w:rsid w:val="000A6036"/>
    <w:rsid w:val="000B5CB6"/>
    <w:rsid w:val="000B750D"/>
    <w:rsid w:val="000C0931"/>
    <w:rsid w:val="000C0AC8"/>
    <w:rsid w:val="000C228C"/>
    <w:rsid w:val="000C3F31"/>
    <w:rsid w:val="000C453B"/>
    <w:rsid w:val="000C4E4A"/>
    <w:rsid w:val="000C5B50"/>
    <w:rsid w:val="000D5735"/>
    <w:rsid w:val="000D71E5"/>
    <w:rsid w:val="000D722C"/>
    <w:rsid w:val="000E1CA5"/>
    <w:rsid w:val="000F2D94"/>
    <w:rsid w:val="000F308F"/>
    <w:rsid w:val="000F50F9"/>
    <w:rsid w:val="000F5696"/>
    <w:rsid w:val="000F66A0"/>
    <w:rsid w:val="00105A36"/>
    <w:rsid w:val="00106325"/>
    <w:rsid w:val="001125E5"/>
    <w:rsid w:val="00112DAA"/>
    <w:rsid w:val="00116766"/>
    <w:rsid w:val="00122742"/>
    <w:rsid w:val="00133682"/>
    <w:rsid w:val="001347F1"/>
    <w:rsid w:val="00136704"/>
    <w:rsid w:val="001459A3"/>
    <w:rsid w:val="00145E2B"/>
    <w:rsid w:val="00150846"/>
    <w:rsid w:val="00155095"/>
    <w:rsid w:val="00155291"/>
    <w:rsid w:val="00165922"/>
    <w:rsid w:val="001728AA"/>
    <w:rsid w:val="00175D1F"/>
    <w:rsid w:val="0017762D"/>
    <w:rsid w:val="001778AC"/>
    <w:rsid w:val="00184AB1"/>
    <w:rsid w:val="00185FA6"/>
    <w:rsid w:val="0018646D"/>
    <w:rsid w:val="0018693A"/>
    <w:rsid w:val="00192643"/>
    <w:rsid w:val="001945DC"/>
    <w:rsid w:val="001977D5"/>
    <w:rsid w:val="00197D99"/>
    <w:rsid w:val="001A49CE"/>
    <w:rsid w:val="001B536D"/>
    <w:rsid w:val="001C2A02"/>
    <w:rsid w:val="001C71AC"/>
    <w:rsid w:val="001D126E"/>
    <w:rsid w:val="001D3072"/>
    <w:rsid w:val="001D5438"/>
    <w:rsid w:val="001D6022"/>
    <w:rsid w:val="001E0452"/>
    <w:rsid w:val="001E12BB"/>
    <w:rsid w:val="001E72FD"/>
    <w:rsid w:val="001F65C0"/>
    <w:rsid w:val="00203F51"/>
    <w:rsid w:val="00204747"/>
    <w:rsid w:val="00204B91"/>
    <w:rsid w:val="0021002B"/>
    <w:rsid w:val="002117BE"/>
    <w:rsid w:val="00211EA4"/>
    <w:rsid w:val="0022714D"/>
    <w:rsid w:val="00232C00"/>
    <w:rsid w:val="00232FC3"/>
    <w:rsid w:val="00245526"/>
    <w:rsid w:val="00257094"/>
    <w:rsid w:val="002619E7"/>
    <w:rsid w:val="00261D78"/>
    <w:rsid w:val="002707DB"/>
    <w:rsid w:val="002765F4"/>
    <w:rsid w:val="00280B2B"/>
    <w:rsid w:val="00296D11"/>
    <w:rsid w:val="002975BF"/>
    <w:rsid w:val="002A2AF2"/>
    <w:rsid w:val="002A7870"/>
    <w:rsid w:val="002A7BC0"/>
    <w:rsid w:val="002A7FBA"/>
    <w:rsid w:val="002B4BEC"/>
    <w:rsid w:val="002C2ADB"/>
    <w:rsid w:val="002C7B6F"/>
    <w:rsid w:val="002D462F"/>
    <w:rsid w:val="002D75A4"/>
    <w:rsid w:val="002E1AD2"/>
    <w:rsid w:val="002E50F5"/>
    <w:rsid w:val="002F0F73"/>
    <w:rsid w:val="00300478"/>
    <w:rsid w:val="00303F5E"/>
    <w:rsid w:val="0030570C"/>
    <w:rsid w:val="0030680B"/>
    <w:rsid w:val="00312FFF"/>
    <w:rsid w:val="00316827"/>
    <w:rsid w:val="00323A59"/>
    <w:rsid w:val="00327EB2"/>
    <w:rsid w:val="00333DCF"/>
    <w:rsid w:val="003341A6"/>
    <w:rsid w:val="003414C1"/>
    <w:rsid w:val="003447D3"/>
    <w:rsid w:val="00346D76"/>
    <w:rsid w:val="0035400D"/>
    <w:rsid w:val="003651B2"/>
    <w:rsid w:val="003662C3"/>
    <w:rsid w:val="00376858"/>
    <w:rsid w:val="00386023"/>
    <w:rsid w:val="00392E7D"/>
    <w:rsid w:val="00396EFF"/>
    <w:rsid w:val="003A67D5"/>
    <w:rsid w:val="003A7F71"/>
    <w:rsid w:val="003D4729"/>
    <w:rsid w:val="003D582E"/>
    <w:rsid w:val="003D7582"/>
    <w:rsid w:val="003E0B51"/>
    <w:rsid w:val="003E16A2"/>
    <w:rsid w:val="003E63A1"/>
    <w:rsid w:val="003F2689"/>
    <w:rsid w:val="003F3061"/>
    <w:rsid w:val="003F5D32"/>
    <w:rsid w:val="003F6E2C"/>
    <w:rsid w:val="00404436"/>
    <w:rsid w:val="00404C99"/>
    <w:rsid w:val="00405BCD"/>
    <w:rsid w:val="00411257"/>
    <w:rsid w:val="004154EA"/>
    <w:rsid w:val="004154F6"/>
    <w:rsid w:val="00416210"/>
    <w:rsid w:val="0042358C"/>
    <w:rsid w:val="00431C14"/>
    <w:rsid w:val="00434284"/>
    <w:rsid w:val="00443872"/>
    <w:rsid w:val="00461349"/>
    <w:rsid w:val="00464E67"/>
    <w:rsid w:val="00466D34"/>
    <w:rsid w:val="0046773C"/>
    <w:rsid w:val="004711C0"/>
    <w:rsid w:val="0047319D"/>
    <w:rsid w:val="004778CE"/>
    <w:rsid w:val="00477C9D"/>
    <w:rsid w:val="004857FB"/>
    <w:rsid w:val="004867A7"/>
    <w:rsid w:val="004A14AC"/>
    <w:rsid w:val="004A22D1"/>
    <w:rsid w:val="004A42C9"/>
    <w:rsid w:val="004A4F61"/>
    <w:rsid w:val="004A76EF"/>
    <w:rsid w:val="004B13E3"/>
    <w:rsid w:val="004B2859"/>
    <w:rsid w:val="004B33CB"/>
    <w:rsid w:val="004B5AC3"/>
    <w:rsid w:val="004C3732"/>
    <w:rsid w:val="004C3CEB"/>
    <w:rsid w:val="004C5155"/>
    <w:rsid w:val="004C56DC"/>
    <w:rsid w:val="004D2F80"/>
    <w:rsid w:val="004D671B"/>
    <w:rsid w:val="004E0082"/>
    <w:rsid w:val="004E063F"/>
    <w:rsid w:val="004E3FCF"/>
    <w:rsid w:val="004E62A6"/>
    <w:rsid w:val="004E6AC5"/>
    <w:rsid w:val="004F525C"/>
    <w:rsid w:val="004F52EA"/>
    <w:rsid w:val="004F7750"/>
    <w:rsid w:val="00503BE6"/>
    <w:rsid w:val="00504EC2"/>
    <w:rsid w:val="00510DF2"/>
    <w:rsid w:val="005252E6"/>
    <w:rsid w:val="005373F1"/>
    <w:rsid w:val="005460E0"/>
    <w:rsid w:val="00547A96"/>
    <w:rsid w:val="005602A3"/>
    <w:rsid w:val="0056228E"/>
    <w:rsid w:val="00565CF7"/>
    <w:rsid w:val="00586232"/>
    <w:rsid w:val="005A0FCB"/>
    <w:rsid w:val="005B35EA"/>
    <w:rsid w:val="005C22AB"/>
    <w:rsid w:val="005C2E8E"/>
    <w:rsid w:val="005C48C0"/>
    <w:rsid w:val="005D779A"/>
    <w:rsid w:val="005E002A"/>
    <w:rsid w:val="005E0085"/>
    <w:rsid w:val="005E20B1"/>
    <w:rsid w:val="005E7180"/>
    <w:rsid w:val="005F3C53"/>
    <w:rsid w:val="00604B72"/>
    <w:rsid w:val="0060778E"/>
    <w:rsid w:val="006117CD"/>
    <w:rsid w:val="0061345C"/>
    <w:rsid w:val="0061400E"/>
    <w:rsid w:val="0061639F"/>
    <w:rsid w:val="00617012"/>
    <w:rsid w:val="00621355"/>
    <w:rsid w:val="006230AF"/>
    <w:rsid w:val="00631FD6"/>
    <w:rsid w:val="00633189"/>
    <w:rsid w:val="006417C1"/>
    <w:rsid w:val="00643EE3"/>
    <w:rsid w:val="00646306"/>
    <w:rsid w:val="00661320"/>
    <w:rsid w:val="00661B56"/>
    <w:rsid w:val="00663254"/>
    <w:rsid w:val="006638F1"/>
    <w:rsid w:val="006645CE"/>
    <w:rsid w:val="00665C20"/>
    <w:rsid w:val="00670C9B"/>
    <w:rsid w:val="0067148B"/>
    <w:rsid w:val="00674DB3"/>
    <w:rsid w:val="00676B2A"/>
    <w:rsid w:val="00680B7B"/>
    <w:rsid w:val="00680CD6"/>
    <w:rsid w:val="006858F3"/>
    <w:rsid w:val="00690C81"/>
    <w:rsid w:val="006A791D"/>
    <w:rsid w:val="006B3459"/>
    <w:rsid w:val="006B495D"/>
    <w:rsid w:val="006B6146"/>
    <w:rsid w:val="006C03E0"/>
    <w:rsid w:val="006C4EA6"/>
    <w:rsid w:val="006C52DC"/>
    <w:rsid w:val="006D62C7"/>
    <w:rsid w:val="006D6A37"/>
    <w:rsid w:val="006F2BCD"/>
    <w:rsid w:val="007067A8"/>
    <w:rsid w:val="007068A6"/>
    <w:rsid w:val="0070716F"/>
    <w:rsid w:val="007119B5"/>
    <w:rsid w:val="00712768"/>
    <w:rsid w:val="00712AC8"/>
    <w:rsid w:val="00723CD8"/>
    <w:rsid w:val="00724A66"/>
    <w:rsid w:val="007276E7"/>
    <w:rsid w:val="00743151"/>
    <w:rsid w:val="0074687D"/>
    <w:rsid w:val="00746F8E"/>
    <w:rsid w:val="007475B9"/>
    <w:rsid w:val="007511E7"/>
    <w:rsid w:val="00767529"/>
    <w:rsid w:val="00770584"/>
    <w:rsid w:val="00782D15"/>
    <w:rsid w:val="00791601"/>
    <w:rsid w:val="007A457C"/>
    <w:rsid w:val="007B59DE"/>
    <w:rsid w:val="007B6C11"/>
    <w:rsid w:val="007B7275"/>
    <w:rsid w:val="007C5F36"/>
    <w:rsid w:val="007D6B88"/>
    <w:rsid w:val="007E1432"/>
    <w:rsid w:val="007E1FBB"/>
    <w:rsid w:val="007E3011"/>
    <w:rsid w:val="007E37EF"/>
    <w:rsid w:val="007F5A9A"/>
    <w:rsid w:val="007F7E53"/>
    <w:rsid w:val="0080315F"/>
    <w:rsid w:val="008059D9"/>
    <w:rsid w:val="00827CFD"/>
    <w:rsid w:val="00837A63"/>
    <w:rsid w:val="00845DE2"/>
    <w:rsid w:val="00854335"/>
    <w:rsid w:val="008611A8"/>
    <w:rsid w:val="008612C1"/>
    <w:rsid w:val="00861C53"/>
    <w:rsid w:val="00870758"/>
    <w:rsid w:val="00871B5F"/>
    <w:rsid w:val="00874F9F"/>
    <w:rsid w:val="00876068"/>
    <w:rsid w:val="00880EC5"/>
    <w:rsid w:val="0088221A"/>
    <w:rsid w:val="00884E35"/>
    <w:rsid w:val="00886843"/>
    <w:rsid w:val="008A12C9"/>
    <w:rsid w:val="008B70ED"/>
    <w:rsid w:val="008D43C7"/>
    <w:rsid w:val="008D5002"/>
    <w:rsid w:val="008D715B"/>
    <w:rsid w:val="008E486B"/>
    <w:rsid w:val="008E48AC"/>
    <w:rsid w:val="008F0486"/>
    <w:rsid w:val="008F06CE"/>
    <w:rsid w:val="00906622"/>
    <w:rsid w:val="009107EF"/>
    <w:rsid w:val="00910FB4"/>
    <w:rsid w:val="00912358"/>
    <w:rsid w:val="009133BC"/>
    <w:rsid w:val="00915727"/>
    <w:rsid w:val="00916356"/>
    <w:rsid w:val="0091736F"/>
    <w:rsid w:val="009173B4"/>
    <w:rsid w:val="00924755"/>
    <w:rsid w:val="00935843"/>
    <w:rsid w:val="009453CE"/>
    <w:rsid w:val="00953E17"/>
    <w:rsid w:val="00954467"/>
    <w:rsid w:val="00960C94"/>
    <w:rsid w:val="00962853"/>
    <w:rsid w:val="009720A5"/>
    <w:rsid w:val="00984F9A"/>
    <w:rsid w:val="00986BDF"/>
    <w:rsid w:val="0099560A"/>
    <w:rsid w:val="009964E8"/>
    <w:rsid w:val="00996D62"/>
    <w:rsid w:val="009B07E5"/>
    <w:rsid w:val="009B6BE0"/>
    <w:rsid w:val="009C2937"/>
    <w:rsid w:val="009D2B31"/>
    <w:rsid w:val="009D504A"/>
    <w:rsid w:val="009E14FC"/>
    <w:rsid w:val="009E36BA"/>
    <w:rsid w:val="009F4B16"/>
    <w:rsid w:val="009F5B5D"/>
    <w:rsid w:val="00A02109"/>
    <w:rsid w:val="00A10289"/>
    <w:rsid w:val="00A24389"/>
    <w:rsid w:val="00A24420"/>
    <w:rsid w:val="00A25486"/>
    <w:rsid w:val="00A340F2"/>
    <w:rsid w:val="00A3458E"/>
    <w:rsid w:val="00A503DA"/>
    <w:rsid w:val="00A50B4B"/>
    <w:rsid w:val="00A542ED"/>
    <w:rsid w:val="00A54679"/>
    <w:rsid w:val="00A605AB"/>
    <w:rsid w:val="00A6173D"/>
    <w:rsid w:val="00A644DC"/>
    <w:rsid w:val="00A73AD7"/>
    <w:rsid w:val="00A76EBA"/>
    <w:rsid w:val="00A77E61"/>
    <w:rsid w:val="00A82169"/>
    <w:rsid w:val="00A8219C"/>
    <w:rsid w:val="00A82ED3"/>
    <w:rsid w:val="00A86A63"/>
    <w:rsid w:val="00A87610"/>
    <w:rsid w:val="00A93BDE"/>
    <w:rsid w:val="00AA226F"/>
    <w:rsid w:val="00AA36AD"/>
    <w:rsid w:val="00AA5A4D"/>
    <w:rsid w:val="00AA6943"/>
    <w:rsid w:val="00AA77F4"/>
    <w:rsid w:val="00AA7B92"/>
    <w:rsid w:val="00AB01A4"/>
    <w:rsid w:val="00AB53D9"/>
    <w:rsid w:val="00AC33EE"/>
    <w:rsid w:val="00AC5075"/>
    <w:rsid w:val="00AD13D1"/>
    <w:rsid w:val="00AD1C43"/>
    <w:rsid w:val="00AD6D27"/>
    <w:rsid w:val="00AE445A"/>
    <w:rsid w:val="00AE73F2"/>
    <w:rsid w:val="00AF2718"/>
    <w:rsid w:val="00AF7C6B"/>
    <w:rsid w:val="00B00A10"/>
    <w:rsid w:val="00B05DB7"/>
    <w:rsid w:val="00B07B85"/>
    <w:rsid w:val="00B10576"/>
    <w:rsid w:val="00B22200"/>
    <w:rsid w:val="00B226A1"/>
    <w:rsid w:val="00B302E7"/>
    <w:rsid w:val="00B310D2"/>
    <w:rsid w:val="00B36926"/>
    <w:rsid w:val="00B37F22"/>
    <w:rsid w:val="00B44612"/>
    <w:rsid w:val="00B523C0"/>
    <w:rsid w:val="00B53BC6"/>
    <w:rsid w:val="00B578D4"/>
    <w:rsid w:val="00B609D9"/>
    <w:rsid w:val="00B621B3"/>
    <w:rsid w:val="00B70342"/>
    <w:rsid w:val="00B71018"/>
    <w:rsid w:val="00B7130B"/>
    <w:rsid w:val="00B7507C"/>
    <w:rsid w:val="00B765AF"/>
    <w:rsid w:val="00B90C55"/>
    <w:rsid w:val="00B92597"/>
    <w:rsid w:val="00B95C4A"/>
    <w:rsid w:val="00B96834"/>
    <w:rsid w:val="00BA21F7"/>
    <w:rsid w:val="00BA6865"/>
    <w:rsid w:val="00BB40EA"/>
    <w:rsid w:val="00BB7C1C"/>
    <w:rsid w:val="00BC41FD"/>
    <w:rsid w:val="00BC473A"/>
    <w:rsid w:val="00BC4E5A"/>
    <w:rsid w:val="00BC67FB"/>
    <w:rsid w:val="00BD0CF6"/>
    <w:rsid w:val="00BE44F9"/>
    <w:rsid w:val="00BE7B27"/>
    <w:rsid w:val="00BF00CF"/>
    <w:rsid w:val="00BF3B22"/>
    <w:rsid w:val="00BF71A0"/>
    <w:rsid w:val="00C00407"/>
    <w:rsid w:val="00C00951"/>
    <w:rsid w:val="00C02382"/>
    <w:rsid w:val="00C121E5"/>
    <w:rsid w:val="00C12B64"/>
    <w:rsid w:val="00C142C2"/>
    <w:rsid w:val="00C303A0"/>
    <w:rsid w:val="00C322E2"/>
    <w:rsid w:val="00C43DED"/>
    <w:rsid w:val="00C44658"/>
    <w:rsid w:val="00C46205"/>
    <w:rsid w:val="00C4715A"/>
    <w:rsid w:val="00C47F1D"/>
    <w:rsid w:val="00C52575"/>
    <w:rsid w:val="00C66B6E"/>
    <w:rsid w:val="00C717B4"/>
    <w:rsid w:val="00C74563"/>
    <w:rsid w:val="00C75FFA"/>
    <w:rsid w:val="00C84C61"/>
    <w:rsid w:val="00C87483"/>
    <w:rsid w:val="00C92250"/>
    <w:rsid w:val="00C930EB"/>
    <w:rsid w:val="00C94727"/>
    <w:rsid w:val="00C9503C"/>
    <w:rsid w:val="00C95879"/>
    <w:rsid w:val="00CA156D"/>
    <w:rsid w:val="00CA3B80"/>
    <w:rsid w:val="00CA4405"/>
    <w:rsid w:val="00CA504B"/>
    <w:rsid w:val="00CA51E7"/>
    <w:rsid w:val="00CB1983"/>
    <w:rsid w:val="00CB3150"/>
    <w:rsid w:val="00CB7ABA"/>
    <w:rsid w:val="00CC57FE"/>
    <w:rsid w:val="00CD1107"/>
    <w:rsid w:val="00CD1303"/>
    <w:rsid w:val="00CE24D0"/>
    <w:rsid w:val="00CF31F8"/>
    <w:rsid w:val="00D00A70"/>
    <w:rsid w:val="00D0337B"/>
    <w:rsid w:val="00D037F1"/>
    <w:rsid w:val="00D05E2C"/>
    <w:rsid w:val="00D07576"/>
    <w:rsid w:val="00D108D0"/>
    <w:rsid w:val="00D10CC1"/>
    <w:rsid w:val="00D219AE"/>
    <w:rsid w:val="00D252C9"/>
    <w:rsid w:val="00D33A41"/>
    <w:rsid w:val="00D35424"/>
    <w:rsid w:val="00D44BD2"/>
    <w:rsid w:val="00D52163"/>
    <w:rsid w:val="00D524E7"/>
    <w:rsid w:val="00D5608E"/>
    <w:rsid w:val="00D632B0"/>
    <w:rsid w:val="00D66781"/>
    <w:rsid w:val="00D7126A"/>
    <w:rsid w:val="00D72263"/>
    <w:rsid w:val="00D77752"/>
    <w:rsid w:val="00D83C9A"/>
    <w:rsid w:val="00D94B8B"/>
    <w:rsid w:val="00DA2F21"/>
    <w:rsid w:val="00DA61B2"/>
    <w:rsid w:val="00DB6108"/>
    <w:rsid w:val="00DB7ADE"/>
    <w:rsid w:val="00DB7B3E"/>
    <w:rsid w:val="00DD3C66"/>
    <w:rsid w:val="00DD43D2"/>
    <w:rsid w:val="00DD4945"/>
    <w:rsid w:val="00DE0221"/>
    <w:rsid w:val="00DF2514"/>
    <w:rsid w:val="00E0156D"/>
    <w:rsid w:val="00E01D12"/>
    <w:rsid w:val="00E03F19"/>
    <w:rsid w:val="00E0457E"/>
    <w:rsid w:val="00E05424"/>
    <w:rsid w:val="00E10C14"/>
    <w:rsid w:val="00E11A3D"/>
    <w:rsid w:val="00E1212C"/>
    <w:rsid w:val="00E1297F"/>
    <w:rsid w:val="00E256EE"/>
    <w:rsid w:val="00E27530"/>
    <w:rsid w:val="00E37E9A"/>
    <w:rsid w:val="00E44831"/>
    <w:rsid w:val="00E45784"/>
    <w:rsid w:val="00E52FC3"/>
    <w:rsid w:val="00E54C0B"/>
    <w:rsid w:val="00E54D92"/>
    <w:rsid w:val="00E552E1"/>
    <w:rsid w:val="00E60BB3"/>
    <w:rsid w:val="00E64644"/>
    <w:rsid w:val="00E6694E"/>
    <w:rsid w:val="00E720CB"/>
    <w:rsid w:val="00E76A8B"/>
    <w:rsid w:val="00E81820"/>
    <w:rsid w:val="00E82553"/>
    <w:rsid w:val="00E908D9"/>
    <w:rsid w:val="00E95FA4"/>
    <w:rsid w:val="00E97B49"/>
    <w:rsid w:val="00EA3E38"/>
    <w:rsid w:val="00EA445D"/>
    <w:rsid w:val="00EA6003"/>
    <w:rsid w:val="00EA65C8"/>
    <w:rsid w:val="00EB18F4"/>
    <w:rsid w:val="00EC028E"/>
    <w:rsid w:val="00EC59E1"/>
    <w:rsid w:val="00ED2579"/>
    <w:rsid w:val="00ED2704"/>
    <w:rsid w:val="00ED71F5"/>
    <w:rsid w:val="00ED747E"/>
    <w:rsid w:val="00EE65EA"/>
    <w:rsid w:val="00EE7A55"/>
    <w:rsid w:val="00EF6C1D"/>
    <w:rsid w:val="00F050F8"/>
    <w:rsid w:val="00F06289"/>
    <w:rsid w:val="00F066D6"/>
    <w:rsid w:val="00F22C3A"/>
    <w:rsid w:val="00F23C27"/>
    <w:rsid w:val="00F2457C"/>
    <w:rsid w:val="00F25B90"/>
    <w:rsid w:val="00F268C1"/>
    <w:rsid w:val="00F30C51"/>
    <w:rsid w:val="00F43603"/>
    <w:rsid w:val="00F44759"/>
    <w:rsid w:val="00F45E78"/>
    <w:rsid w:val="00F46873"/>
    <w:rsid w:val="00F47108"/>
    <w:rsid w:val="00F55AFF"/>
    <w:rsid w:val="00F565E7"/>
    <w:rsid w:val="00F56ED7"/>
    <w:rsid w:val="00F60F64"/>
    <w:rsid w:val="00F620B0"/>
    <w:rsid w:val="00F67C12"/>
    <w:rsid w:val="00F75FC3"/>
    <w:rsid w:val="00F87323"/>
    <w:rsid w:val="00F93A94"/>
    <w:rsid w:val="00FA5308"/>
    <w:rsid w:val="00FC4681"/>
    <w:rsid w:val="00FD5544"/>
    <w:rsid w:val="00FD70EC"/>
    <w:rsid w:val="00FE253F"/>
    <w:rsid w:val="00FE68BE"/>
    <w:rsid w:val="00FF06C1"/>
    <w:rsid w:val="00FF4C0A"/>
    <w:rsid w:val="18117934"/>
    <w:rsid w:val="461E6E44"/>
    <w:rsid w:val="487601BA"/>
    <w:rsid w:val="500E0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863</Words>
  <Characters>872</Characters>
  <Lines>8</Lines>
  <Paragraphs>2</Paragraphs>
  <TotalTime>9</TotalTime>
  <ScaleCrop>false</ScaleCrop>
  <LinksUpToDate>false</LinksUpToDate>
  <CharactersWithSpaces>1032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2020-03-25T06:59:00Z</dcterms:created>
  <dc:creator>PC</dc:creator>
  <cp:lastModifiedBy>紫尾巴</cp:lastModifiedBy>
  <dcterms:modified xsi:type="dcterms:W3CDTF">2025-06-19T07:54:42Z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FFFD9D2F916644A6BC1A54D15260EB34_12</vt:lpwstr>
  </property>
  <property fmtid="{D5CDD505-2E9C-101B-9397-08002B2CF9AE}" pid="4" name="KSOTemplateDocerSaveRecord">
    <vt:lpwstr>eyJoZGlkIjoiOGZkMWYzN2FjY2JmZWNlY2NmNjY3MDlhYTJjYjY3NDQiLCJ1c2VySWQiOiIzMDc5MDgxMDkifQ==</vt:lpwstr>
  </property>
</Properties>
</file>